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F3C4F" w14:textId="2F0AA4D7" w:rsidR="00E22DA2" w:rsidRPr="00D56708" w:rsidRDefault="00C434C5" w:rsidP="00505BE8">
      <w:pPr>
        <w:pStyle w:val="ijecstitle"/>
        <w:spacing w:line="276" w:lineRule="auto"/>
        <w:rPr>
          <w:b w:val="0"/>
          <w:bCs w:val="0"/>
        </w:rPr>
      </w:pPr>
      <w:r w:rsidRPr="00C434C5">
        <w:t xml:space="preserve">Investigating </w:t>
      </w:r>
      <w:r>
        <w:t>t</w:t>
      </w:r>
      <w:r w:rsidRPr="00C434C5">
        <w:t xml:space="preserve">he Impact </w:t>
      </w:r>
      <w:r>
        <w:t>o</w:t>
      </w:r>
      <w:r w:rsidRPr="00C434C5">
        <w:t xml:space="preserve">f Emotional Contagion </w:t>
      </w:r>
      <w:r>
        <w:t>o</w:t>
      </w:r>
      <w:r w:rsidRPr="00C434C5">
        <w:t xml:space="preserve">n Customer Attitude, Trust </w:t>
      </w:r>
      <w:r>
        <w:t>a</w:t>
      </w:r>
      <w:r w:rsidRPr="00C434C5">
        <w:t>nd Brand Engagement: A Social Commerce Perspective</w:t>
      </w:r>
    </w:p>
    <w:p w14:paraId="79EEF57C" w14:textId="1331BD0A" w:rsidR="00C35559" w:rsidRPr="00C35559" w:rsidRDefault="00C434C5" w:rsidP="00505BE8">
      <w:pPr>
        <w:pStyle w:val="Web"/>
        <w:pBdr>
          <w:bottom w:val="single" w:sz="6" w:space="1" w:color="auto"/>
        </w:pBdr>
        <w:adjustRightInd w:val="0"/>
        <w:snapToGrid w:val="0"/>
        <w:spacing w:beforeLines="50" w:before="180" w:beforeAutospacing="0" w:after="0" w:afterAutospacing="0" w:line="276" w:lineRule="auto"/>
        <w:jc w:val="center"/>
        <w:textAlignment w:val="top"/>
        <w:rPr>
          <w:rFonts w:ascii="Arial" w:hAnsi="Arial" w:cs="Arial"/>
        </w:rPr>
      </w:pPr>
      <w:r>
        <w:rPr>
          <w:rFonts w:ascii="Arial" w:hAnsi="Arial" w:cs="Arial"/>
        </w:rPr>
        <w:t>Vasudevan Moorthy</w:t>
      </w:r>
    </w:p>
    <w:p w14:paraId="5F4C8397" w14:textId="3B813A10" w:rsidR="00C35559" w:rsidRPr="00C35559" w:rsidRDefault="00C434C5" w:rsidP="00505BE8">
      <w:pPr>
        <w:pStyle w:val="Web"/>
        <w:pBdr>
          <w:bottom w:val="single" w:sz="6" w:space="1" w:color="auto"/>
        </w:pBdr>
        <w:adjustRightInd w:val="0"/>
        <w:snapToGrid w:val="0"/>
        <w:spacing w:before="0" w:beforeAutospacing="0" w:after="0" w:afterAutospacing="0" w:line="276" w:lineRule="auto"/>
        <w:jc w:val="center"/>
        <w:textAlignment w:val="top"/>
        <w:rPr>
          <w:rFonts w:ascii="Arial" w:hAnsi="Arial" w:cs="Arial"/>
        </w:rPr>
      </w:pPr>
      <w:r>
        <w:rPr>
          <w:rFonts w:ascii="Arial" w:hAnsi="Arial" w:cs="Arial"/>
        </w:rPr>
        <w:t>Christ University, Bangalore, India</w:t>
      </w:r>
    </w:p>
    <w:p w14:paraId="15612747" w14:textId="77508E08" w:rsidR="00C35559" w:rsidRDefault="00F32939" w:rsidP="00505BE8">
      <w:pPr>
        <w:pStyle w:val="Web"/>
        <w:pBdr>
          <w:bottom w:val="single" w:sz="6" w:space="1" w:color="auto"/>
        </w:pBdr>
        <w:adjustRightInd w:val="0"/>
        <w:snapToGrid w:val="0"/>
        <w:spacing w:before="0" w:beforeAutospacing="0" w:after="0" w:afterAutospacing="0" w:line="276" w:lineRule="auto"/>
        <w:jc w:val="center"/>
        <w:textAlignment w:val="top"/>
        <w:rPr>
          <w:rFonts w:ascii="Arial" w:hAnsi="Arial" w:cs="Arial"/>
        </w:rPr>
      </w:pPr>
      <w:hyperlink r:id="rId8" w:history="1">
        <w:r w:rsidR="00BB4009" w:rsidRPr="005D7947">
          <w:rPr>
            <w:rStyle w:val="a4"/>
            <w:rFonts w:ascii="Arial" w:hAnsi="Arial" w:cs="Arial"/>
            <w:sz w:val="24"/>
            <w:szCs w:val="24"/>
          </w:rPr>
          <w:t>vasudevan30@gmail.com</w:t>
        </w:r>
      </w:hyperlink>
    </w:p>
    <w:p w14:paraId="6D43EA6A" w14:textId="7AD1DD5C" w:rsidR="00C434C5" w:rsidRDefault="00C434C5" w:rsidP="00505BE8">
      <w:pPr>
        <w:pStyle w:val="Web"/>
        <w:pBdr>
          <w:bottom w:val="single" w:sz="6" w:space="1" w:color="auto"/>
        </w:pBdr>
        <w:adjustRightInd w:val="0"/>
        <w:snapToGrid w:val="0"/>
        <w:spacing w:before="0" w:beforeAutospacing="0" w:after="0" w:afterAutospacing="0" w:line="276" w:lineRule="auto"/>
        <w:jc w:val="center"/>
        <w:textAlignment w:val="top"/>
        <w:rPr>
          <w:rFonts w:ascii="Arial" w:hAnsi="Arial" w:cs="Arial"/>
        </w:rPr>
      </w:pPr>
    </w:p>
    <w:p w14:paraId="2CB717B4" w14:textId="2E40ADBB" w:rsidR="00C434C5" w:rsidRPr="00C35559" w:rsidRDefault="00C434C5" w:rsidP="00505BE8">
      <w:pPr>
        <w:pStyle w:val="Web"/>
        <w:pBdr>
          <w:bottom w:val="single" w:sz="6" w:space="1" w:color="auto"/>
        </w:pBdr>
        <w:adjustRightInd w:val="0"/>
        <w:snapToGrid w:val="0"/>
        <w:spacing w:before="0" w:beforeAutospacing="0" w:after="0" w:afterAutospacing="0" w:line="276" w:lineRule="auto"/>
        <w:jc w:val="center"/>
        <w:textAlignment w:val="top"/>
        <w:rPr>
          <w:rFonts w:ascii="Arial" w:hAnsi="Arial" w:cs="Arial"/>
        </w:rPr>
      </w:pPr>
      <w:r>
        <w:rPr>
          <w:rFonts w:ascii="Arial" w:hAnsi="Arial" w:cs="Arial"/>
        </w:rPr>
        <w:t>Prabha Kiran</w:t>
      </w:r>
    </w:p>
    <w:p w14:paraId="67D1594D" w14:textId="77777777" w:rsidR="00BB4009" w:rsidRDefault="00C434C5" w:rsidP="00505BE8">
      <w:pPr>
        <w:pStyle w:val="Web"/>
        <w:pBdr>
          <w:bottom w:val="single" w:sz="6" w:space="1" w:color="auto"/>
        </w:pBdr>
        <w:adjustRightInd w:val="0"/>
        <w:snapToGrid w:val="0"/>
        <w:spacing w:before="0" w:beforeAutospacing="0" w:after="0" w:afterAutospacing="0" w:line="276" w:lineRule="auto"/>
        <w:jc w:val="center"/>
        <w:textAlignment w:val="top"/>
        <w:rPr>
          <w:rFonts w:ascii="Arial" w:hAnsi="Arial" w:cs="Arial"/>
        </w:rPr>
      </w:pPr>
      <w:r w:rsidRPr="00C434C5">
        <w:rPr>
          <w:rFonts w:ascii="Arial" w:hAnsi="Arial" w:cs="Arial"/>
        </w:rPr>
        <w:t>Westminster International University, Tashkent</w:t>
      </w:r>
    </w:p>
    <w:p w14:paraId="4F17A795" w14:textId="7D48AAE7" w:rsidR="00C434C5" w:rsidRDefault="00C434C5" w:rsidP="00505BE8">
      <w:pPr>
        <w:pStyle w:val="Web"/>
        <w:pBdr>
          <w:bottom w:val="single" w:sz="6" w:space="1" w:color="auto"/>
        </w:pBdr>
        <w:adjustRightInd w:val="0"/>
        <w:snapToGrid w:val="0"/>
        <w:spacing w:before="0" w:beforeAutospacing="0" w:after="0" w:afterAutospacing="0" w:line="276" w:lineRule="auto"/>
        <w:jc w:val="center"/>
        <w:textAlignment w:val="top"/>
        <w:rPr>
          <w:rFonts w:ascii="Arial" w:hAnsi="Arial" w:cs="Arial"/>
        </w:rPr>
      </w:pPr>
      <w:r w:rsidRPr="00C434C5">
        <w:rPr>
          <w:rFonts w:ascii="Arial" w:hAnsi="Arial" w:cs="Arial"/>
        </w:rPr>
        <w:t xml:space="preserve"> </w:t>
      </w:r>
      <w:hyperlink r:id="rId9" w:history="1">
        <w:r w:rsidR="00BB4009" w:rsidRPr="005D7947">
          <w:rPr>
            <w:rStyle w:val="a4"/>
            <w:rFonts w:ascii="Arial" w:hAnsi="Arial" w:cs="Arial"/>
            <w:sz w:val="24"/>
            <w:szCs w:val="24"/>
          </w:rPr>
          <w:t>prabhakiran10@gmail.com</w:t>
        </w:r>
      </w:hyperlink>
    </w:p>
    <w:p w14:paraId="5984F06B" w14:textId="77777777" w:rsidR="00C434C5" w:rsidRPr="00C35559" w:rsidRDefault="00C434C5" w:rsidP="00505BE8">
      <w:pPr>
        <w:pStyle w:val="Web"/>
        <w:pBdr>
          <w:bottom w:val="single" w:sz="6" w:space="1" w:color="auto"/>
        </w:pBdr>
        <w:adjustRightInd w:val="0"/>
        <w:snapToGrid w:val="0"/>
        <w:spacing w:before="0" w:beforeAutospacing="0" w:after="0" w:afterAutospacing="0" w:line="276" w:lineRule="auto"/>
        <w:jc w:val="center"/>
        <w:textAlignment w:val="top"/>
        <w:rPr>
          <w:rFonts w:ascii="Arial" w:hAnsi="Arial" w:cs="Arial"/>
        </w:rPr>
      </w:pPr>
    </w:p>
    <w:p w14:paraId="26BB97EC" w14:textId="145EA77E" w:rsidR="00C434C5" w:rsidRPr="00C35559" w:rsidRDefault="00C434C5" w:rsidP="00505BE8">
      <w:pPr>
        <w:pStyle w:val="Web"/>
        <w:pBdr>
          <w:bottom w:val="single" w:sz="6" w:space="1" w:color="auto"/>
        </w:pBdr>
        <w:adjustRightInd w:val="0"/>
        <w:snapToGrid w:val="0"/>
        <w:spacing w:before="0" w:beforeAutospacing="0" w:after="0" w:afterAutospacing="0" w:line="276" w:lineRule="auto"/>
        <w:jc w:val="center"/>
        <w:textAlignment w:val="top"/>
        <w:rPr>
          <w:rFonts w:ascii="Arial" w:hAnsi="Arial" w:cs="Arial"/>
        </w:rPr>
      </w:pPr>
      <w:r>
        <w:rPr>
          <w:rFonts w:ascii="Arial" w:hAnsi="Arial" w:cs="Arial"/>
        </w:rPr>
        <w:t>Jayanta Banerjee</w:t>
      </w:r>
    </w:p>
    <w:p w14:paraId="7CB836ED" w14:textId="2D86773B" w:rsidR="00C434C5" w:rsidRPr="00C35559" w:rsidRDefault="001449B6" w:rsidP="00505BE8">
      <w:pPr>
        <w:pStyle w:val="Web"/>
        <w:pBdr>
          <w:bottom w:val="single" w:sz="6" w:space="1" w:color="auto"/>
        </w:pBdr>
        <w:adjustRightInd w:val="0"/>
        <w:snapToGrid w:val="0"/>
        <w:spacing w:before="0" w:beforeAutospacing="0" w:after="0" w:afterAutospacing="0" w:line="276" w:lineRule="auto"/>
        <w:jc w:val="center"/>
        <w:textAlignment w:val="top"/>
        <w:rPr>
          <w:rFonts w:ascii="Arial" w:hAnsi="Arial" w:cs="Arial"/>
        </w:rPr>
      </w:pPr>
      <w:r>
        <w:rPr>
          <w:rFonts w:ascii="Arial" w:hAnsi="Arial" w:cs="Arial"/>
        </w:rPr>
        <w:t>Amity University</w:t>
      </w:r>
      <w:r w:rsidR="00C434C5">
        <w:rPr>
          <w:rFonts w:ascii="Arial" w:hAnsi="Arial" w:cs="Arial"/>
        </w:rPr>
        <w:t xml:space="preserve">, </w:t>
      </w:r>
      <w:r>
        <w:rPr>
          <w:rFonts w:ascii="Arial" w:hAnsi="Arial" w:cs="Arial"/>
        </w:rPr>
        <w:t>Kolkata</w:t>
      </w:r>
      <w:r w:rsidR="00C434C5">
        <w:rPr>
          <w:rFonts w:ascii="Arial" w:hAnsi="Arial" w:cs="Arial"/>
        </w:rPr>
        <w:t>, India</w:t>
      </w:r>
    </w:p>
    <w:p w14:paraId="05BFFD26" w14:textId="099AF83F" w:rsidR="00C434C5" w:rsidRDefault="00F32939" w:rsidP="00505BE8">
      <w:pPr>
        <w:pStyle w:val="Web"/>
        <w:pBdr>
          <w:bottom w:val="single" w:sz="6" w:space="1" w:color="auto"/>
        </w:pBdr>
        <w:adjustRightInd w:val="0"/>
        <w:snapToGrid w:val="0"/>
        <w:spacing w:before="0" w:beforeAutospacing="0" w:after="0" w:afterAutospacing="0" w:line="276" w:lineRule="auto"/>
        <w:jc w:val="center"/>
        <w:textAlignment w:val="top"/>
        <w:rPr>
          <w:rFonts w:ascii="Arial" w:hAnsi="Arial" w:cs="Arial"/>
        </w:rPr>
      </w:pPr>
      <w:hyperlink r:id="rId10" w:history="1">
        <w:r w:rsidR="00BB4009" w:rsidRPr="005D7947">
          <w:rPr>
            <w:rStyle w:val="a4"/>
            <w:rFonts w:ascii="Arial" w:hAnsi="Arial" w:cs="Arial"/>
            <w:sz w:val="24"/>
            <w:szCs w:val="24"/>
          </w:rPr>
          <w:t>jayanta.february@gmail.com</w:t>
        </w:r>
      </w:hyperlink>
    </w:p>
    <w:p w14:paraId="4B2C8617" w14:textId="77777777" w:rsidR="00C35559" w:rsidRPr="00C35559" w:rsidRDefault="00C35559" w:rsidP="00505BE8">
      <w:pPr>
        <w:pStyle w:val="Web"/>
        <w:pBdr>
          <w:bottom w:val="single" w:sz="6" w:space="1" w:color="auto"/>
        </w:pBdr>
        <w:adjustRightInd w:val="0"/>
        <w:snapToGrid w:val="0"/>
        <w:spacing w:before="0" w:beforeAutospacing="0" w:after="0" w:afterAutospacing="0" w:line="276" w:lineRule="auto"/>
        <w:textAlignment w:val="top"/>
        <w:rPr>
          <w:rFonts w:ascii="Arial" w:hAnsi="Arial" w:cs="Arial"/>
        </w:rPr>
      </w:pPr>
    </w:p>
    <w:p w14:paraId="0620FC25" w14:textId="7E8EBF4B" w:rsidR="00C35559" w:rsidRPr="00C35559" w:rsidRDefault="00D56708" w:rsidP="00505BE8">
      <w:pPr>
        <w:pStyle w:val="Web"/>
        <w:pBdr>
          <w:bottom w:val="single" w:sz="6" w:space="1" w:color="auto"/>
        </w:pBdr>
        <w:adjustRightInd w:val="0"/>
        <w:snapToGrid w:val="0"/>
        <w:spacing w:before="0" w:beforeAutospacing="0" w:after="0" w:afterAutospacing="0" w:line="276" w:lineRule="auto"/>
        <w:jc w:val="center"/>
        <w:textAlignment w:val="top"/>
        <w:rPr>
          <w:rFonts w:ascii="Arial" w:hAnsi="Arial" w:cs="Arial"/>
        </w:rPr>
      </w:pPr>
      <w:r>
        <w:rPr>
          <w:rFonts w:ascii="Arial" w:hAnsi="Arial" w:cs="Arial"/>
        </w:rPr>
        <w:t>Krishna Kishore S V</w:t>
      </w:r>
    </w:p>
    <w:p w14:paraId="3A75DE79" w14:textId="2C77F9D3" w:rsidR="00C35559" w:rsidRPr="00C35559" w:rsidRDefault="00D56708" w:rsidP="00505BE8">
      <w:pPr>
        <w:pStyle w:val="Web"/>
        <w:pBdr>
          <w:bottom w:val="single" w:sz="6" w:space="1" w:color="auto"/>
        </w:pBdr>
        <w:adjustRightInd w:val="0"/>
        <w:snapToGrid w:val="0"/>
        <w:spacing w:before="0" w:beforeAutospacing="0" w:after="0" w:afterAutospacing="0" w:line="276" w:lineRule="auto"/>
        <w:jc w:val="center"/>
        <w:textAlignment w:val="top"/>
        <w:rPr>
          <w:rFonts w:ascii="Arial" w:hAnsi="Arial" w:cs="Arial"/>
        </w:rPr>
      </w:pPr>
      <w:r>
        <w:rPr>
          <w:rFonts w:ascii="Arial" w:hAnsi="Arial" w:cs="Arial"/>
        </w:rPr>
        <w:t>Christ University, Bangalore, India</w:t>
      </w:r>
    </w:p>
    <w:p w14:paraId="5C2620FA" w14:textId="1684ACAE" w:rsidR="00BB4009" w:rsidRDefault="00F32939" w:rsidP="00505BE8">
      <w:pPr>
        <w:pStyle w:val="Web"/>
        <w:pBdr>
          <w:bottom w:val="single" w:sz="6" w:space="1" w:color="auto"/>
        </w:pBdr>
        <w:adjustRightInd w:val="0"/>
        <w:snapToGrid w:val="0"/>
        <w:spacing w:before="0" w:beforeAutospacing="0" w:after="0" w:afterAutospacing="0" w:line="276" w:lineRule="auto"/>
        <w:jc w:val="center"/>
        <w:textAlignment w:val="top"/>
        <w:rPr>
          <w:rStyle w:val="a4"/>
          <w:rFonts w:ascii="Arial" w:hAnsi="Arial" w:cs="Arial"/>
          <w:sz w:val="24"/>
          <w:szCs w:val="24"/>
          <w:u w:val="none"/>
        </w:rPr>
      </w:pPr>
      <w:hyperlink r:id="rId11" w:history="1">
        <w:r w:rsidR="00D56708" w:rsidRPr="00D56708">
          <w:rPr>
            <w:rStyle w:val="a4"/>
            <w:rFonts w:ascii="Arial" w:hAnsi="Arial" w:cs="Arial"/>
            <w:sz w:val="24"/>
            <w:szCs w:val="24"/>
            <w:u w:val="none"/>
          </w:rPr>
          <w:t>kkshr6336@gmail.com</w:t>
        </w:r>
      </w:hyperlink>
    </w:p>
    <w:p w14:paraId="7AE145D5" w14:textId="77777777" w:rsidR="00BB4009" w:rsidRPr="00BB4009" w:rsidRDefault="00BB4009" w:rsidP="00505BE8">
      <w:pPr>
        <w:pStyle w:val="Web"/>
        <w:pBdr>
          <w:bottom w:val="single" w:sz="6" w:space="1" w:color="auto"/>
        </w:pBdr>
        <w:adjustRightInd w:val="0"/>
        <w:snapToGrid w:val="0"/>
        <w:spacing w:before="0" w:beforeAutospacing="0" w:after="0" w:afterAutospacing="0" w:line="276" w:lineRule="auto"/>
        <w:jc w:val="center"/>
        <w:textAlignment w:val="top"/>
        <w:rPr>
          <w:rFonts w:ascii="Arial" w:hAnsi="Arial" w:cs="Arial"/>
          <w:color w:val="000033"/>
        </w:rPr>
      </w:pPr>
    </w:p>
    <w:p w14:paraId="75613A61" w14:textId="34586850" w:rsidR="00D56708" w:rsidRPr="00BB4009" w:rsidRDefault="00E22DA2" w:rsidP="00505BE8">
      <w:pPr>
        <w:pStyle w:val="Web"/>
        <w:adjustRightInd w:val="0"/>
        <w:snapToGrid w:val="0"/>
        <w:spacing w:beforeLines="100" w:before="360" w:beforeAutospacing="0" w:afterLines="100" w:after="360" w:afterAutospacing="0" w:line="276" w:lineRule="auto"/>
        <w:jc w:val="center"/>
        <w:textAlignment w:val="top"/>
        <w:rPr>
          <w:rFonts w:ascii="Arial" w:hAnsi="Arial" w:cs="Arial"/>
          <w:b/>
          <w:bCs/>
          <w:sz w:val="28"/>
          <w:szCs w:val="28"/>
        </w:rPr>
      </w:pPr>
      <w:r w:rsidRPr="00C35559">
        <w:rPr>
          <w:rFonts w:ascii="Arial" w:hAnsi="Arial" w:cs="Arial"/>
          <w:b/>
          <w:bCs/>
          <w:sz w:val="28"/>
          <w:szCs w:val="28"/>
        </w:rPr>
        <w:t>ABSTRACT</w:t>
      </w:r>
    </w:p>
    <w:p w14:paraId="1A7C51A9" w14:textId="522E3282" w:rsidR="00D56708" w:rsidRDefault="00D56708" w:rsidP="00505BE8">
      <w:pPr>
        <w:pStyle w:val="Web"/>
        <w:pBdr>
          <w:bottom w:val="single" w:sz="6" w:space="1" w:color="auto"/>
        </w:pBdr>
        <w:adjustRightInd w:val="0"/>
        <w:snapToGrid w:val="0"/>
        <w:spacing w:before="0" w:beforeAutospacing="0" w:after="0" w:afterAutospacing="0" w:line="276" w:lineRule="auto"/>
        <w:ind w:firstLine="476"/>
        <w:jc w:val="both"/>
        <w:textAlignment w:val="top"/>
        <w:rPr>
          <w:rFonts w:ascii="Times New Roman" w:hAnsi="Times New Roman" w:cs="Times New Roman"/>
        </w:rPr>
      </w:pPr>
      <w:r w:rsidRPr="00D56708">
        <w:rPr>
          <w:rFonts w:ascii="Times New Roman" w:hAnsi="Times New Roman" w:cs="Times New Roman"/>
        </w:rPr>
        <w:t xml:space="preserve">Social Commerce networks are a powerful platform for </w:t>
      </w:r>
      <w:r w:rsidR="00841E8E">
        <w:rPr>
          <w:rFonts w:ascii="Times New Roman" w:hAnsi="Times New Roman" w:cs="Times New Roman"/>
        </w:rPr>
        <w:t>spreading</w:t>
      </w:r>
      <w:r w:rsidRPr="00D56708">
        <w:rPr>
          <w:rFonts w:ascii="Times New Roman" w:hAnsi="Times New Roman" w:cs="Times New Roman"/>
        </w:rPr>
        <w:t xml:space="preserve"> positive and negative emotional contagion, which is affecting users from different perspectives, i.e., psychology, attitude, buying decision. Emotional contagion is the phenomenon of having a person's emotions and behaviours directly trigger similar emotions or behaviour in other people. This research proposes a model to analyze the factors influencing emotional contagion that, in turn, impact consumer's attitudes, trust, and brand engagement. This study used a survey approach using a structured questionnaire. Primary data was collected from 174 social media users who shop online. The proposed model was tested using multiple regression analysis. The results demonstrated that effective content, </w:t>
      </w:r>
      <w:r w:rsidR="00841E8E">
        <w:rPr>
          <w:rFonts w:ascii="Times New Roman" w:hAnsi="Times New Roman" w:cs="Times New Roman"/>
        </w:rPr>
        <w:t>visual or text, triggers customers' emotional contagion, influencing customer attitude and</w:t>
      </w:r>
      <w:r w:rsidRPr="00D56708">
        <w:rPr>
          <w:rFonts w:ascii="Times New Roman" w:hAnsi="Times New Roman" w:cs="Times New Roman"/>
        </w:rPr>
        <w:t xml:space="preserve"> trust leading to brand engagement. The </w:t>
      </w:r>
      <w:r w:rsidR="00841E8E">
        <w:rPr>
          <w:rFonts w:ascii="Times New Roman" w:hAnsi="Times New Roman" w:cs="Times New Roman"/>
        </w:rPr>
        <w:t>research study's findings</w:t>
      </w:r>
      <w:r w:rsidRPr="00D56708">
        <w:rPr>
          <w:rFonts w:ascii="Times New Roman" w:hAnsi="Times New Roman" w:cs="Times New Roman"/>
        </w:rPr>
        <w:t xml:space="preserve"> can be used for deciding on content strategies of advertisements pertaining to social commerce.</w:t>
      </w:r>
    </w:p>
    <w:p w14:paraId="4B6349FD" w14:textId="77777777" w:rsidR="00D56708" w:rsidRDefault="00D56708" w:rsidP="00505BE8">
      <w:pPr>
        <w:pStyle w:val="Web"/>
        <w:pBdr>
          <w:bottom w:val="single" w:sz="6" w:space="1" w:color="auto"/>
        </w:pBdr>
        <w:adjustRightInd w:val="0"/>
        <w:snapToGrid w:val="0"/>
        <w:spacing w:before="0" w:beforeAutospacing="0" w:after="0" w:afterAutospacing="0" w:line="276" w:lineRule="auto"/>
        <w:jc w:val="both"/>
        <w:textAlignment w:val="top"/>
        <w:rPr>
          <w:rFonts w:ascii="Times New Roman" w:hAnsi="Times New Roman" w:cs="Times New Roman"/>
        </w:rPr>
      </w:pPr>
    </w:p>
    <w:p w14:paraId="2748F868" w14:textId="4883CFEC" w:rsidR="00BB4009" w:rsidRDefault="00E22DA2" w:rsidP="00505BE8">
      <w:pPr>
        <w:pStyle w:val="Web"/>
        <w:pBdr>
          <w:bottom w:val="single" w:sz="6" w:space="1" w:color="auto"/>
        </w:pBdr>
        <w:adjustRightInd w:val="0"/>
        <w:snapToGrid w:val="0"/>
        <w:spacing w:before="0" w:beforeAutospacing="0" w:after="0" w:afterAutospacing="0" w:line="276" w:lineRule="auto"/>
        <w:jc w:val="both"/>
        <w:textAlignment w:val="top"/>
        <w:rPr>
          <w:rFonts w:ascii="Times New Roman" w:hAnsi="Times New Roman" w:cs="Times New Roman"/>
          <w:szCs w:val="20"/>
        </w:rPr>
      </w:pPr>
      <w:r w:rsidRPr="00402558">
        <w:rPr>
          <w:rFonts w:ascii="Times New Roman" w:hAnsi="Times New Roman" w:cs="Times New Roman" w:hint="eastAsia"/>
          <w:b/>
          <w:szCs w:val="20"/>
        </w:rPr>
        <w:t>Keyword</w:t>
      </w:r>
      <w:r w:rsidR="0050097C" w:rsidRPr="00402558">
        <w:rPr>
          <w:rFonts w:ascii="Times New Roman" w:hAnsi="Times New Roman" w:cs="Times New Roman" w:hint="eastAsia"/>
          <w:b/>
          <w:szCs w:val="20"/>
        </w:rPr>
        <w:t>s</w:t>
      </w:r>
      <w:r w:rsidRPr="00402558">
        <w:rPr>
          <w:rFonts w:ascii="Times New Roman" w:hAnsi="Times New Roman" w:cs="Times New Roman" w:hint="eastAsia"/>
          <w:szCs w:val="20"/>
        </w:rPr>
        <w:t xml:space="preserve">: </w:t>
      </w:r>
      <w:r w:rsidR="00D56708" w:rsidRPr="00D56708">
        <w:rPr>
          <w:rFonts w:ascii="Times New Roman" w:hAnsi="Times New Roman" w:cs="Times New Roman"/>
          <w:szCs w:val="20"/>
        </w:rPr>
        <w:t>Emotional Contagion, Social Media Content, Emotion Contagion, Attitude, Trust, Brand engagement</w:t>
      </w:r>
    </w:p>
    <w:p w14:paraId="03CC7A76" w14:textId="77777777" w:rsidR="00BB4009" w:rsidRDefault="00BB4009" w:rsidP="00505BE8">
      <w:pPr>
        <w:widowControl/>
        <w:spacing w:line="276" w:lineRule="auto"/>
        <w:rPr>
          <w:rFonts w:eastAsia="Arial Unicode MS"/>
          <w:kern w:val="0"/>
          <w:szCs w:val="20"/>
        </w:rPr>
      </w:pPr>
      <w:r>
        <w:rPr>
          <w:szCs w:val="20"/>
        </w:rPr>
        <w:br w:type="page"/>
      </w:r>
    </w:p>
    <w:p w14:paraId="6F0ECF6C" w14:textId="046A0F3D" w:rsidR="00935917" w:rsidRPr="00C35559" w:rsidRDefault="00935917" w:rsidP="00505BE8">
      <w:pPr>
        <w:pStyle w:val="Web"/>
        <w:numPr>
          <w:ilvl w:val="0"/>
          <w:numId w:val="9"/>
        </w:numPr>
        <w:adjustRightInd w:val="0"/>
        <w:snapToGrid w:val="0"/>
        <w:spacing w:before="0" w:beforeAutospacing="0" w:after="0" w:afterAutospacing="0" w:line="276" w:lineRule="auto"/>
        <w:jc w:val="center"/>
        <w:textAlignment w:val="top"/>
        <w:rPr>
          <w:rFonts w:ascii="Arial" w:eastAsia="新細明體" w:hAnsi="Arial" w:cs="Arial"/>
          <w:b/>
          <w:bCs/>
          <w:sz w:val="28"/>
          <w:szCs w:val="28"/>
        </w:rPr>
      </w:pPr>
      <w:r w:rsidRPr="00C35559">
        <w:rPr>
          <w:rFonts w:ascii="Arial" w:eastAsia="新細明體" w:hAnsi="Arial" w:cs="Arial"/>
          <w:b/>
          <w:bCs/>
          <w:sz w:val="28"/>
          <w:szCs w:val="28"/>
        </w:rPr>
        <w:lastRenderedPageBreak/>
        <w:t>I</w:t>
      </w:r>
      <w:r w:rsidR="00272FF7" w:rsidRPr="00C35559">
        <w:rPr>
          <w:rFonts w:ascii="Arial" w:eastAsia="新細明體" w:hAnsi="Arial" w:cs="Arial"/>
          <w:b/>
          <w:bCs/>
          <w:sz w:val="28"/>
          <w:szCs w:val="28"/>
        </w:rPr>
        <w:t>NTRODUCTION</w:t>
      </w:r>
    </w:p>
    <w:p w14:paraId="72375A2C" w14:textId="403AA5A2" w:rsidR="00817410" w:rsidRDefault="00520A27" w:rsidP="00505BE8">
      <w:pPr>
        <w:pStyle w:val="Web"/>
        <w:snapToGrid w:val="0"/>
        <w:spacing w:beforeLines="50" w:before="180" w:beforeAutospacing="0" w:after="0" w:afterAutospacing="0" w:line="276" w:lineRule="auto"/>
        <w:ind w:firstLineChars="200" w:firstLine="480"/>
        <w:jc w:val="both"/>
        <w:textAlignment w:val="top"/>
        <w:rPr>
          <w:rFonts w:ascii="Times New Roman" w:hAnsi="Times New Roman" w:cs="Times New Roman"/>
          <w:szCs w:val="20"/>
        </w:rPr>
      </w:pPr>
      <w:r w:rsidRPr="00520A27">
        <w:rPr>
          <w:rFonts w:ascii="Times New Roman" w:hAnsi="Times New Roman" w:cs="Times New Roman"/>
          <w:szCs w:val="20"/>
        </w:rPr>
        <w:t xml:space="preserve">The evolution of technology and the internet have transformed the way of buying and selling a product rapidly from brick and mortar to online techniques in a blink. E-commerce is the new billion-dollar innovation that brings up rapid changes to how people shop. Following the path of evolution, every object gets replaced by a better substitute as time progresses. The viable replacement for E-commerce </w:t>
      </w:r>
      <w:r w:rsidR="00577CA9">
        <w:rPr>
          <w:rFonts w:ascii="Times New Roman" w:hAnsi="Times New Roman" w:cs="Times New Roman"/>
          <w:szCs w:val="20"/>
        </w:rPr>
        <w:t xml:space="preserve">is </w:t>
      </w:r>
      <w:r w:rsidRPr="00520A27">
        <w:rPr>
          <w:rFonts w:ascii="Times New Roman" w:hAnsi="Times New Roman" w:cs="Times New Roman"/>
          <w:szCs w:val="20"/>
        </w:rPr>
        <w:t xml:space="preserve">turning out to be Social media (Social Commerce), which inherits the traits of the E-commerce websites like product description ideas and shapes them into a more user-friendly manner. The duality factor (socializing, commercial activities) gives social media an extra advantage over E-commerce websites. The buyer or the consumer finds social commerce more trustworthy than E-commerce websites. This is because social commerce websites offer more transparency than E-commerce websites. Selling through social media platforms allows a seller to create a good brand image and trust, provided the product has good quality, and it also helps the seller to monitor the brand easily. Electronic word of mouth (eWOM) is the number one attribute to spread information in the social community. Reviews, recommendations, online ratings, unboxing experience all create a reputation for the seller [1]. Social media helps sellers </w:t>
      </w:r>
      <w:r w:rsidR="00577CA9">
        <w:rPr>
          <w:rFonts w:ascii="Times New Roman" w:hAnsi="Times New Roman" w:cs="Times New Roman"/>
          <w:szCs w:val="20"/>
        </w:rPr>
        <w:t>interact directly with their customers and help them evaluate their potential buyers' social habits to interact with them, thus providing their social community a genuine insight and, in turn, increasing</w:t>
      </w:r>
      <w:r w:rsidRPr="00520A27">
        <w:rPr>
          <w:rFonts w:ascii="Times New Roman" w:hAnsi="Times New Roman" w:cs="Times New Roman"/>
          <w:szCs w:val="20"/>
        </w:rPr>
        <w:t xml:space="preserve"> sales. Social media </w:t>
      </w:r>
      <w:r w:rsidR="00B24E3A">
        <w:rPr>
          <w:rFonts w:ascii="Times New Roman" w:hAnsi="Times New Roman" w:cs="Times New Roman"/>
          <w:szCs w:val="20"/>
        </w:rPr>
        <w:t>is a potential ground for mining emotion, which helps the seller</w:t>
      </w:r>
      <w:r w:rsidRPr="00520A27">
        <w:rPr>
          <w:rFonts w:ascii="Times New Roman" w:hAnsi="Times New Roman" w:cs="Times New Roman"/>
          <w:szCs w:val="20"/>
        </w:rPr>
        <w:t xml:space="preserve"> design the content required to attract potential buyers [2]. Although there are prior studies on social commerce and customer behaviour, there is a lack of extant literature highlighting the link between the seller</w:t>
      </w:r>
      <w:r w:rsidR="00577CA9">
        <w:rPr>
          <w:rFonts w:ascii="Times New Roman" w:hAnsi="Times New Roman" w:cs="Times New Roman"/>
          <w:szCs w:val="20"/>
        </w:rPr>
        <w:t>-</w:t>
      </w:r>
      <w:r w:rsidRPr="00520A27">
        <w:rPr>
          <w:rFonts w:ascii="Times New Roman" w:hAnsi="Times New Roman" w:cs="Times New Roman"/>
          <w:szCs w:val="20"/>
        </w:rPr>
        <w:t xml:space="preserve">generated digital content and </w:t>
      </w:r>
      <w:r w:rsidR="00577CA9">
        <w:rPr>
          <w:rFonts w:ascii="Times New Roman" w:hAnsi="Times New Roman" w:cs="Times New Roman"/>
          <w:szCs w:val="20"/>
        </w:rPr>
        <w:t xml:space="preserve">the </w:t>
      </w:r>
      <w:r w:rsidRPr="00520A27">
        <w:rPr>
          <w:rFonts w:ascii="Times New Roman" w:hAnsi="Times New Roman" w:cs="Times New Roman"/>
          <w:szCs w:val="20"/>
        </w:rPr>
        <w:t>emotional contagion of the customer. This study helps further explore the possible research question: What are the most effective forms of content (Visual, Audio, Word) that trigger emotional contagion? Whether there is an impact of emotional contagion on customer attitude, trust, and brand engagement? An extensive literature review was conducted to identify the constructs related to emotional contagion, customer attitude, trust, and brand engagement.</w:t>
      </w:r>
      <w:r w:rsidR="00FA27CA" w:rsidRPr="00402558">
        <w:rPr>
          <w:rFonts w:ascii="Times New Roman" w:hAnsi="Times New Roman" w:cs="Times New Roman"/>
          <w:szCs w:val="20"/>
        </w:rPr>
        <w:t xml:space="preserve"> </w:t>
      </w:r>
    </w:p>
    <w:p w14:paraId="167DE6E2" w14:textId="7D8D2F02" w:rsidR="00520A27" w:rsidRPr="00520A27" w:rsidRDefault="00520A27" w:rsidP="00505BE8">
      <w:pPr>
        <w:pStyle w:val="af5"/>
        <w:numPr>
          <w:ilvl w:val="1"/>
          <w:numId w:val="4"/>
        </w:numPr>
        <w:spacing w:beforeLines="50" w:before="180" w:line="276" w:lineRule="auto"/>
        <w:jc w:val="both"/>
        <w:rPr>
          <w:rFonts w:eastAsia="Times New Roman"/>
        </w:rPr>
      </w:pPr>
      <w:r w:rsidRPr="00520A27">
        <w:rPr>
          <w:rFonts w:eastAsia="Times New Roman"/>
          <w:b/>
          <w:color w:val="000000"/>
        </w:rPr>
        <w:t>Research Objectives </w:t>
      </w:r>
    </w:p>
    <w:p w14:paraId="5644937F" w14:textId="77777777" w:rsidR="00520A27" w:rsidRPr="00520A27" w:rsidRDefault="00520A27" w:rsidP="00505BE8">
      <w:pPr>
        <w:pStyle w:val="af5"/>
        <w:numPr>
          <w:ilvl w:val="0"/>
          <w:numId w:val="7"/>
        </w:numPr>
        <w:spacing w:line="276" w:lineRule="auto"/>
        <w:jc w:val="both"/>
        <w:rPr>
          <w:rFonts w:eastAsia="Times New Roman"/>
        </w:rPr>
      </w:pPr>
      <w:r w:rsidRPr="00520A27">
        <w:rPr>
          <w:rFonts w:eastAsia="Times New Roman"/>
          <w:color w:val="000000"/>
        </w:rPr>
        <w:t>To determine the impact of social media content on emotional contagion.</w:t>
      </w:r>
    </w:p>
    <w:p w14:paraId="4237D731" w14:textId="77777777" w:rsidR="00520A27" w:rsidRPr="00520A27" w:rsidRDefault="00520A27" w:rsidP="00505BE8">
      <w:pPr>
        <w:pStyle w:val="af5"/>
        <w:numPr>
          <w:ilvl w:val="0"/>
          <w:numId w:val="7"/>
        </w:numPr>
        <w:spacing w:line="276" w:lineRule="auto"/>
        <w:jc w:val="both"/>
        <w:rPr>
          <w:rFonts w:eastAsia="Times New Roman"/>
        </w:rPr>
      </w:pPr>
      <w:r w:rsidRPr="00520A27">
        <w:rPr>
          <w:rFonts w:eastAsia="Times New Roman"/>
          <w:color w:val="000000"/>
        </w:rPr>
        <w:t>To identify the influence of emotional contagion on customer attitude and trust</w:t>
      </w:r>
    </w:p>
    <w:p w14:paraId="0284ECBA" w14:textId="77777777" w:rsidR="00520A27" w:rsidRPr="00520A27" w:rsidRDefault="00520A27" w:rsidP="00505BE8">
      <w:pPr>
        <w:pStyle w:val="af5"/>
        <w:numPr>
          <w:ilvl w:val="0"/>
          <w:numId w:val="7"/>
        </w:numPr>
        <w:spacing w:line="276" w:lineRule="auto"/>
        <w:jc w:val="both"/>
        <w:rPr>
          <w:rFonts w:eastAsia="Times New Roman"/>
        </w:rPr>
      </w:pPr>
      <w:r w:rsidRPr="00520A27">
        <w:rPr>
          <w:rFonts w:eastAsia="Times New Roman"/>
          <w:color w:val="000000"/>
        </w:rPr>
        <w:t>To deduce the relationship between emotional contagion and brand effectiveness</w:t>
      </w:r>
    </w:p>
    <w:p w14:paraId="0FD7C454" w14:textId="604B12D3" w:rsidR="005E3915" w:rsidRDefault="00520A27" w:rsidP="00505BE8">
      <w:pPr>
        <w:pStyle w:val="af5"/>
        <w:numPr>
          <w:ilvl w:val="0"/>
          <w:numId w:val="7"/>
        </w:numPr>
        <w:spacing w:line="276" w:lineRule="auto"/>
        <w:jc w:val="both"/>
        <w:rPr>
          <w:rFonts w:eastAsia="Times New Roman"/>
          <w:color w:val="000000"/>
        </w:rPr>
      </w:pPr>
      <w:r w:rsidRPr="00520A27">
        <w:rPr>
          <w:rFonts w:eastAsia="Times New Roman"/>
          <w:color w:val="000000"/>
        </w:rPr>
        <w:t>To analyze the impact of customer attitude and trust on brand effectiveness</w:t>
      </w:r>
    </w:p>
    <w:p w14:paraId="66943F3E" w14:textId="573BD46B" w:rsidR="00632DC9" w:rsidRPr="005E3915" w:rsidRDefault="005E3915" w:rsidP="005E3915">
      <w:pPr>
        <w:widowControl/>
        <w:rPr>
          <w:rFonts w:eastAsiaTheme="minorEastAsia"/>
          <w:color w:val="000000"/>
        </w:rPr>
      </w:pPr>
      <w:r>
        <w:rPr>
          <w:rFonts w:eastAsia="Times New Roman"/>
          <w:color w:val="000000"/>
        </w:rPr>
        <w:br w:type="page"/>
      </w:r>
    </w:p>
    <w:p w14:paraId="7F803A41" w14:textId="7C09A835" w:rsidR="00520A27" w:rsidRPr="00BB4009" w:rsidRDefault="00063E8F" w:rsidP="005E3915">
      <w:pPr>
        <w:pStyle w:val="Web"/>
        <w:numPr>
          <w:ilvl w:val="0"/>
          <w:numId w:val="4"/>
        </w:numPr>
        <w:adjustRightInd w:val="0"/>
        <w:snapToGrid w:val="0"/>
        <w:spacing w:before="0" w:beforeAutospacing="0" w:afterLines="100" w:after="360" w:afterAutospacing="0" w:line="276" w:lineRule="auto"/>
        <w:ind w:left="360"/>
        <w:jc w:val="center"/>
        <w:textAlignment w:val="top"/>
        <w:rPr>
          <w:rFonts w:ascii="Arial" w:eastAsia="新細明體" w:hAnsi="Arial" w:cs="Arial"/>
          <w:b/>
          <w:bCs/>
          <w:sz w:val="28"/>
          <w:szCs w:val="28"/>
        </w:rPr>
      </w:pPr>
      <w:r w:rsidRPr="00C35559">
        <w:rPr>
          <w:rFonts w:ascii="Arial" w:eastAsia="新細明體" w:hAnsi="Arial" w:cs="Arial"/>
          <w:b/>
          <w:bCs/>
          <w:sz w:val="28"/>
          <w:szCs w:val="28"/>
        </w:rPr>
        <w:lastRenderedPageBreak/>
        <w:t xml:space="preserve">LITERATURE REVIEW </w:t>
      </w:r>
    </w:p>
    <w:p w14:paraId="727327DB" w14:textId="639AFC36" w:rsidR="00520A27" w:rsidRPr="00520A27" w:rsidRDefault="00520A27" w:rsidP="00505BE8">
      <w:pPr>
        <w:widowControl/>
        <w:spacing w:line="276" w:lineRule="auto"/>
        <w:jc w:val="both"/>
        <w:rPr>
          <w:rFonts w:eastAsia="Times New Roman"/>
          <w:b/>
          <w:color w:val="000000"/>
          <w:kern w:val="0"/>
          <w:lang w:val="en-IN" w:eastAsia="en-US"/>
        </w:rPr>
      </w:pPr>
      <w:r w:rsidRPr="00520A27">
        <w:rPr>
          <w:rFonts w:eastAsia="Times New Roman"/>
          <w:b/>
          <w:color w:val="000000"/>
          <w:kern w:val="0"/>
          <w:lang w:val="en-IN" w:eastAsia="en-US"/>
        </w:rPr>
        <w:t>Social Commerce:</w:t>
      </w:r>
    </w:p>
    <w:p w14:paraId="70DF24EA" w14:textId="11AE342E" w:rsidR="00817410" w:rsidRPr="00520A27" w:rsidRDefault="00520A27" w:rsidP="00505BE8">
      <w:pPr>
        <w:widowControl/>
        <w:spacing w:line="276" w:lineRule="auto"/>
        <w:ind w:firstLine="720"/>
        <w:jc w:val="both"/>
        <w:rPr>
          <w:rFonts w:eastAsia="Times New Roman"/>
          <w:color w:val="000000"/>
          <w:kern w:val="0"/>
          <w:lang w:val="en-IN" w:eastAsia="en-US"/>
        </w:rPr>
      </w:pPr>
      <w:r w:rsidRPr="00520A27">
        <w:rPr>
          <w:rFonts w:eastAsia="Times New Roman"/>
          <w:color w:val="000000"/>
          <w:kern w:val="0"/>
          <w:lang w:val="en-IN" w:eastAsia="en-US"/>
        </w:rPr>
        <w:t xml:space="preserve">Social commerce concepts came </w:t>
      </w:r>
      <w:r w:rsidR="00577CA9">
        <w:rPr>
          <w:rFonts w:eastAsia="Times New Roman"/>
          <w:color w:val="000000"/>
          <w:kern w:val="0"/>
          <w:lang w:val="en-IN" w:eastAsia="en-US"/>
        </w:rPr>
        <w:t>in</w:t>
      </w:r>
      <w:r w:rsidRPr="00520A27">
        <w:rPr>
          <w:rFonts w:eastAsia="Times New Roman"/>
          <w:color w:val="000000"/>
          <w:kern w:val="0"/>
          <w:lang w:val="en-IN" w:eastAsia="en-US"/>
        </w:rPr>
        <w:t>to existence by combining the traits of both social media and e-commerce websites and are gaining popularity rapidly. The number of social media users is 3.48 billion as of 2019, and the number is growing day by day. Social media can be classified into seven different types: Social networking sites, forums, blogs, podcasts, wikis, content, communities, and micro-blogs. Blogs</w:t>
      </w:r>
      <w:r w:rsidR="00577CA9">
        <w:rPr>
          <w:rFonts w:eastAsia="Times New Roman"/>
          <w:color w:val="000000"/>
          <w:kern w:val="0"/>
          <w:lang w:val="en-IN" w:eastAsia="en-US"/>
        </w:rPr>
        <w:t xml:space="preserve"> are journals containing visual, audio, and word media</w:t>
      </w:r>
      <w:r w:rsidRPr="00520A27">
        <w:rPr>
          <w:rFonts w:eastAsia="Times New Roman"/>
          <w:color w:val="000000"/>
          <w:kern w:val="0"/>
          <w:lang w:val="en-IN" w:eastAsia="en-US"/>
        </w:rPr>
        <w:t xml:space="preserve"> owned by bloggers</w:t>
      </w:r>
      <w:r w:rsidRPr="00520A27">
        <w:rPr>
          <w:rFonts w:eastAsia="Times New Roman"/>
          <w:kern w:val="0"/>
          <w:lang w:val="en-IN" w:eastAsia="en-US"/>
        </w:rPr>
        <w:t xml:space="preserve">. </w:t>
      </w:r>
      <w:r w:rsidRPr="00520A27">
        <w:rPr>
          <w:rFonts w:eastAsia="Times New Roman"/>
          <w:color w:val="000000"/>
          <w:kern w:val="0"/>
          <w:lang w:val="en-IN" w:eastAsia="en-US"/>
        </w:rPr>
        <w:t xml:space="preserve">Bloggers used the platform to express their ideas and concepts and encourage the </w:t>
      </w:r>
      <w:r w:rsidR="00577CA9">
        <w:rPr>
          <w:rFonts w:eastAsia="Times New Roman"/>
          <w:color w:val="000000"/>
          <w:kern w:val="0"/>
          <w:lang w:val="en-IN" w:eastAsia="en-US"/>
        </w:rPr>
        <w:t>reader's involvement</w:t>
      </w:r>
      <w:r w:rsidRPr="00520A27">
        <w:rPr>
          <w:rFonts w:eastAsia="Times New Roman"/>
          <w:color w:val="000000"/>
          <w:kern w:val="0"/>
          <w:lang w:val="en-IN" w:eastAsia="en-US"/>
        </w:rPr>
        <w:t xml:space="preserve"> to enable a discussion. Forums are used for discussions similar to the blog but are not owned by anyone. The </w:t>
      </w:r>
      <w:r w:rsidR="00577CA9">
        <w:rPr>
          <w:rFonts w:eastAsia="Times New Roman"/>
          <w:color w:val="000000"/>
          <w:kern w:val="0"/>
          <w:lang w:val="en-IN" w:eastAsia="en-US"/>
        </w:rPr>
        <w:t>community member</w:t>
      </w:r>
      <w:r w:rsidRPr="00520A27">
        <w:rPr>
          <w:rFonts w:eastAsia="Times New Roman"/>
          <w:color w:val="000000"/>
          <w:kern w:val="0"/>
          <w:lang w:val="en-IN" w:eastAsia="en-US"/>
        </w:rPr>
        <w:t xml:space="preserve"> can initiate a conversion or discussion termed as threads. Twitter, Instagram, </w:t>
      </w:r>
      <w:r w:rsidR="00577CA9">
        <w:rPr>
          <w:rFonts w:eastAsia="Times New Roman"/>
          <w:color w:val="000000"/>
          <w:kern w:val="0"/>
          <w:lang w:val="en-IN" w:eastAsia="en-US"/>
        </w:rPr>
        <w:t>and Facebook are</w:t>
      </w:r>
      <w:r w:rsidRPr="00520A27">
        <w:rPr>
          <w:rFonts w:eastAsia="Times New Roman"/>
          <w:color w:val="000000"/>
          <w:kern w:val="0"/>
          <w:lang w:val="en-IN" w:eastAsia="en-US"/>
        </w:rPr>
        <w:t xml:space="preserve"> examples of social networking websites that allow users to form a community and socialize[3-4]. </w:t>
      </w:r>
    </w:p>
    <w:p w14:paraId="570A0B18" w14:textId="63147E95" w:rsidR="00520A27" w:rsidRPr="00520A27" w:rsidRDefault="00520A27" w:rsidP="00505BE8">
      <w:pPr>
        <w:widowControl/>
        <w:spacing w:beforeLines="50" w:before="180" w:line="276" w:lineRule="auto"/>
        <w:ind w:firstLine="720"/>
        <w:jc w:val="both"/>
        <w:rPr>
          <w:rFonts w:eastAsia="Times New Roman"/>
          <w:color w:val="000000"/>
          <w:kern w:val="0"/>
          <w:lang w:val="en-IN" w:eastAsia="en-US"/>
        </w:rPr>
      </w:pPr>
      <w:r w:rsidRPr="00520A27">
        <w:rPr>
          <w:rFonts w:eastAsia="Times New Roman"/>
          <w:color w:val="000000"/>
          <w:kern w:val="0"/>
          <w:lang w:val="en-IN" w:eastAsia="en-US"/>
        </w:rPr>
        <w:t xml:space="preserve">Social media turns out to be the most popular activity on the internet. The popularity of social commerce platforms is increasing </w:t>
      </w:r>
      <w:r w:rsidR="00577CA9">
        <w:rPr>
          <w:rFonts w:eastAsia="Times New Roman"/>
          <w:color w:val="000000"/>
          <w:kern w:val="0"/>
          <w:lang w:val="en-IN" w:eastAsia="en-US"/>
        </w:rPr>
        <w:t>due to</w:t>
      </w:r>
      <w:r w:rsidRPr="00520A27">
        <w:rPr>
          <w:rFonts w:eastAsia="Times New Roman"/>
          <w:color w:val="000000"/>
          <w:kern w:val="0"/>
          <w:lang w:val="en-IN" w:eastAsia="en-US"/>
        </w:rPr>
        <w:t xml:space="preserve"> </w:t>
      </w:r>
      <w:r w:rsidR="00B24E3A">
        <w:rPr>
          <w:rFonts w:eastAsia="Times New Roman"/>
          <w:color w:val="000000"/>
          <w:kern w:val="0"/>
          <w:lang w:val="en-IN" w:eastAsia="en-US"/>
        </w:rPr>
        <w:t>people's increasing usage of social media</w:t>
      </w:r>
      <w:r w:rsidRPr="00520A27">
        <w:rPr>
          <w:rFonts w:eastAsia="Times New Roman"/>
          <w:color w:val="000000"/>
          <w:kern w:val="0"/>
          <w:lang w:val="en-IN" w:eastAsia="en-US"/>
        </w:rPr>
        <w:t xml:space="preserve">. Social commerce indicates the use of social media to support </w:t>
      </w:r>
      <w:r w:rsidR="00577CA9">
        <w:rPr>
          <w:rFonts w:eastAsia="Times New Roman"/>
          <w:color w:val="000000"/>
          <w:kern w:val="0"/>
          <w:lang w:val="en-IN" w:eastAsia="en-US"/>
        </w:rPr>
        <w:t>users' participation</w:t>
      </w:r>
      <w:r w:rsidRPr="00520A27">
        <w:rPr>
          <w:rFonts w:eastAsia="Times New Roman"/>
          <w:color w:val="000000"/>
          <w:kern w:val="0"/>
          <w:lang w:val="en-IN" w:eastAsia="en-US"/>
        </w:rPr>
        <w:t xml:space="preserve"> in online business. Social commerce may be broadly categorized into two classes, social media with commercial features and e-commerce websites with provisions for social networking [5]. Social commerce is an innovative approach </w:t>
      </w:r>
      <w:r w:rsidR="00577CA9">
        <w:rPr>
          <w:rFonts w:eastAsia="Times New Roman"/>
          <w:color w:val="000000"/>
          <w:kern w:val="0"/>
          <w:lang w:val="en-IN" w:eastAsia="en-US"/>
        </w:rPr>
        <w:t>to</w:t>
      </w:r>
      <w:r w:rsidRPr="00520A27">
        <w:rPr>
          <w:rFonts w:eastAsia="Times New Roman"/>
          <w:color w:val="000000"/>
          <w:kern w:val="0"/>
          <w:lang w:val="en-IN" w:eastAsia="en-US"/>
        </w:rPr>
        <w:t xml:space="preserve"> customer-to-customer communications. Social commerce facilitates </w:t>
      </w:r>
      <w:r w:rsidR="00577CA9">
        <w:rPr>
          <w:rFonts w:eastAsia="Times New Roman"/>
          <w:color w:val="000000"/>
          <w:kern w:val="0"/>
          <w:lang w:val="en-IN" w:eastAsia="en-US"/>
        </w:rPr>
        <w:t>the exchange of consumer-generated content to help the buyers</w:t>
      </w:r>
      <w:r w:rsidRPr="00520A27">
        <w:rPr>
          <w:rFonts w:eastAsia="Times New Roman"/>
          <w:color w:val="000000"/>
          <w:kern w:val="0"/>
          <w:lang w:val="en-IN" w:eastAsia="en-US"/>
        </w:rPr>
        <w:t xml:space="preserve"> make more informed purchase decisions [6].</w:t>
      </w:r>
      <w:r w:rsidR="00817410">
        <w:rPr>
          <w:rFonts w:eastAsia="Times New Roman"/>
          <w:color w:val="000000"/>
          <w:kern w:val="0"/>
          <w:lang w:val="en-IN" w:eastAsia="en-US"/>
        </w:rPr>
        <w:t xml:space="preserve"> Emotional contagion is an </w:t>
      </w:r>
      <w:r w:rsidR="00577CA9">
        <w:rPr>
          <w:rFonts w:eastAsia="Times New Roman"/>
          <w:color w:val="000000"/>
          <w:kern w:val="0"/>
          <w:lang w:val="en-IN" w:eastAsia="en-US"/>
        </w:rPr>
        <w:t>essential</w:t>
      </w:r>
      <w:r w:rsidR="00817410">
        <w:rPr>
          <w:rFonts w:eastAsia="Times New Roman"/>
          <w:color w:val="000000"/>
          <w:kern w:val="0"/>
          <w:lang w:val="en-IN" w:eastAsia="en-US"/>
        </w:rPr>
        <w:t xml:space="preserve"> aspect of social commerce</w:t>
      </w:r>
      <w:r w:rsidR="00577CA9">
        <w:rPr>
          <w:rFonts w:eastAsia="Times New Roman"/>
          <w:color w:val="000000"/>
          <w:kern w:val="0"/>
          <w:lang w:val="en-IN" w:eastAsia="en-US"/>
        </w:rPr>
        <w:t>,</w:t>
      </w:r>
      <w:r w:rsidR="00817410">
        <w:rPr>
          <w:rFonts w:eastAsia="Times New Roman"/>
          <w:color w:val="000000"/>
          <w:kern w:val="0"/>
          <w:lang w:val="en-IN" w:eastAsia="en-US"/>
        </w:rPr>
        <w:t xml:space="preserve"> and they are intertwined together towards the study of customer engagement. </w:t>
      </w:r>
      <w:r w:rsidR="00F35977">
        <w:rPr>
          <w:rFonts w:eastAsia="Times New Roman"/>
          <w:color w:val="000000"/>
          <w:kern w:val="0"/>
          <w:lang w:val="en-IN" w:eastAsia="en-US"/>
        </w:rPr>
        <w:t>In the present study, t</w:t>
      </w:r>
      <w:r w:rsidR="00817410">
        <w:rPr>
          <w:rFonts w:eastAsia="Times New Roman"/>
          <w:color w:val="000000"/>
          <w:kern w:val="0"/>
          <w:lang w:val="en-IN" w:eastAsia="en-US"/>
        </w:rPr>
        <w:t xml:space="preserve">he indicators of emotional contagion </w:t>
      </w:r>
      <w:r w:rsidR="00F35977">
        <w:rPr>
          <w:rFonts w:eastAsia="Times New Roman"/>
          <w:color w:val="000000"/>
          <w:kern w:val="0"/>
          <w:lang w:val="en-IN" w:eastAsia="en-US"/>
        </w:rPr>
        <w:t>are studied through three types of content</w:t>
      </w:r>
      <w:r w:rsidR="00577CA9">
        <w:rPr>
          <w:rFonts w:eastAsia="Times New Roman"/>
          <w:color w:val="000000"/>
          <w:kern w:val="0"/>
          <w:lang w:val="en-IN" w:eastAsia="en-US"/>
        </w:rPr>
        <w:t>,</w:t>
      </w:r>
      <w:r w:rsidR="00F35977">
        <w:rPr>
          <w:rFonts w:eastAsia="Times New Roman"/>
          <w:color w:val="000000"/>
          <w:kern w:val="0"/>
          <w:lang w:val="en-IN" w:eastAsia="en-US"/>
        </w:rPr>
        <w:t xml:space="preserve"> as discussed below.</w:t>
      </w:r>
    </w:p>
    <w:p w14:paraId="37587F0C" w14:textId="77777777" w:rsidR="00520A27" w:rsidRPr="00520A27" w:rsidRDefault="00520A27" w:rsidP="00505BE8">
      <w:pPr>
        <w:widowControl/>
        <w:spacing w:beforeLines="50" w:before="180" w:line="276" w:lineRule="auto"/>
        <w:jc w:val="both"/>
        <w:rPr>
          <w:rFonts w:eastAsia="Times New Roman"/>
          <w:b/>
          <w:color w:val="000000"/>
          <w:kern w:val="0"/>
          <w:lang w:val="en-IN" w:eastAsia="en-US"/>
        </w:rPr>
      </w:pPr>
      <w:r w:rsidRPr="00520A27">
        <w:rPr>
          <w:rFonts w:eastAsia="Times New Roman"/>
          <w:b/>
          <w:color w:val="000000"/>
          <w:kern w:val="0"/>
          <w:lang w:val="en-IN" w:eastAsia="en-US"/>
        </w:rPr>
        <w:t>Type of Content:</w:t>
      </w:r>
    </w:p>
    <w:p w14:paraId="22248FE5" w14:textId="24490AF9" w:rsidR="00520A27" w:rsidRPr="00A57916" w:rsidRDefault="00520A27" w:rsidP="00505BE8">
      <w:pPr>
        <w:widowControl/>
        <w:spacing w:line="276" w:lineRule="auto"/>
        <w:ind w:firstLine="720"/>
        <w:jc w:val="both"/>
        <w:rPr>
          <w:rFonts w:eastAsia="Times New Roman"/>
          <w:color w:val="000000"/>
          <w:kern w:val="0"/>
          <w:sz w:val="22"/>
          <w:szCs w:val="22"/>
          <w:lang w:val="en-IN" w:eastAsia="en-US"/>
        </w:rPr>
      </w:pPr>
      <w:r w:rsidRPr="00520A27">
        <w:rPr>
          <w:rFonts w:eastAsia="Times New Roman"/>
          <w:color w:val="000000"/>
          <w:kern w:val="0"/>
          <w:sz w:val="22"/>
          <w:szCs w:val="22"/>
          <w:lang w:val="en-IN" w:eastAsia="en-US"/>
        </w:rPr>
        <w:t xml:space="preserve">The type of content circulated creates a significant difference in the attention level of the consumers or social commerce platform users. The </w:t>
      </w:r>
      <w:r w:rsidR="00577CA9">
        <w:rPr>
          <w:rFonts w:eastAsia="Times New Roman"/>
          <w:color w:val="000000"/>
          <w:kern w:val="0"/>
          <w:sz w:val="22"/>
          <w:szCs w:val="22"/>
          <w:lang w:val="en-IN" w:eastAsia="en-US"/>
        </w:rPr>
        <w:t>primary</w:t>
      </w:r>
      <w:r w:rsidRPr="00520A27">
        <w:rPr>
          <w:rFonts w:eastAsia="Times New Roman"/>
          <w:color w:val="000000"/>
          <w:kern w:val="0"/>
          <w:sz w:val="22"/>
          <w:szCs w:val="22"/>
          <w:lang w:val="en-IN" w:eastAsia="en-US"/>
        </w:rPr>
        <w:t xml:space="preserve"> focus of the study is on three types, such as visual, audio, word type contents. </w:t>
      </w:r>
    </w:p>
    <w:p w14:paraId="6FB0FBDC" w14:textId="77777777" w:rsidR="00520A27" w:rsidRPr="00520A27" w:rsidRDefault="00520A27" w:rsidP="00505BE8">
      <w:pPr>
        <w:widowControl/>
        <w:spacing w:beforeLines="50" w:before="180" w:line="276" w:lineRule="auto"/>
        <w:jc w:val="both"/>
        <w:rPr>
          <w:rFonts w:eastAsia="Times New Roman"/>
          <w:b/>
          <w:kern w:val="0"/>
          <w:sz w:val="22"/>
          <w:szCs w:val="22"/>
          <w:lang w:val="en-IN" w:eastAsia="en-US"/>
        </w:rPr>
      </w:pPr>
      <w:r w:rsidRPr="00520A27">
        <w:rPr>
          <w:rFonts w:eastAsia="Times New Roman"/>
          <w:b/>
          <w:kern w:val="0"/>
          <w:sz w:val="22"/>
          <w:szCs w:val="22"/>
          <w:lang w:val="en-IN" w:eastAsia="en-US"/>
        </w:rPr>
        <w:t>Content and Emotional contagion:</w:t>
      </w:r>
    </w:p>
    <w:p w14:paraId="1474F2FF" w14:textId="46CFC4B1" w:rsidR="00577CA9" w:rsidRDefault="00520A27" w:rsidP="00505BE8">
      <w:pPr>
        <w:widowControl/>
        <w:spacing w:line="276" w:lineRule="auto"/>
        <w:ind w:firstLine="720"/>
        <w:jc w:val="both"/>
        <w:rPr>
          <w:rFonts w:eastAsia="Times New Roman"/>
          <w:kern w:val="0"/>
          <w:sz w:val="22"/>
          <w:szCs w:val="22"/>
          <w:lang w:val="en-IN" w:eastAsia="en-US"/>
        </w:rPr>
      </w:pPr>
      <w:r w:rsidRPr="00520A27">
        <w:rPr>
          <w:rFonts w:eastAsia="Times New Roman"/>
          <w:kern w:val="0"/>
          <w:sz w:val="22"/>
          <w:szCs w:val="22"/>
          <w:lang w:val="en-IN" w:eastAsia="en-US"/>
        </w:rPr>
        <w:lastRenderedPageBreak/>
        <w:t xml:space="preserve">The consumers share their emotions and mood through the content shared on social commerce sites. Previous studies have contributed to the body of knowledge enhancing the understanding of sound and visual interferences. More studies on various contents and their roles in affecting emotion through </w:t>
      </w:r>
      <w:r w:rsidR="00577CA9">
        <w:rPr>
          <w:rFonts w:eastAsia="Times New Roman"/>
          <w:kern w:val="0"/>
          <w:sz w:val="22"/>
          <w:szCs w:val="22"/>
          <w:lang w:val="en-IN" w:eastAsia="en-US"/>
        </w:rPr>
        <w:t>multiple</w:t>
      </w:r>
      <w:r w:rsidRPr="00520A27">
        <w:rPr>
          <w:rFonts w:eastAsia="Times New Roman"/>
          <w:kern w:val="0"/>
          <w:sz w:val="22"/>
          <w:szCs w:val="22"/>
          <w:lang w:val="en-IN" w:eastAsia="en-US"/>
        </w:rPr>
        <w:t xml:space="preserve"> modes can be probed [7]. Such states of emotions can be transferred from person to person. This phenomenon is called </w:t>
      </w:r>
      <w:r w:rsidR="00577CA9">
        <w:rPr>
          <w:rFonts w:eastAsia="Times New Roman"/>
          <w:kern w:val="0"/>
          <w:sz w:val="22"/>
          <w:szCs w:val="22"/>
          <w:lang w:val="en-IN" w:eastAsia="en-US"/>
        </w:rPr>
        <w:t>emotional contagion, which affects the trust and attitude of internet users,</w:t>
      </w:r>
      <w:r w:rsidRPr="00520A27">
        <w:rPr>
          <w:rFonts w:eastAsia="Times New Roman"/>
          <w:kern w:val="0"/>
          <w:sz w:val="22"/>
          <w:szCs w:val="22"/>
          <w:lang w:val="en-IN" w:eastAsia="en-US"/>
        </w:rPr>
        <w:t xml:space="preserve"> resulting in actions [8]. Emotional contagion is </w:t>
      </w:r>
      <w:r w:rsidR="00577CA9">
        <w:rPr>
          <w:rFonts w:eastAsia="Times New Roman"/>
          <w:kern w:val="0"/>
          <w:sz w:val="22"/>
          <w:szCs w:val="22"/>
          <w:lang w:val="en-IN" w:eastAsia="en-US"/>
        </w:rPr>
        <w:t>primari</w:t>
      </w:r>
      <w:r w:rsidRPr="00520A27">
        <w:rPr>
          <w:rFonts w:eastAsia="Times New Roman"/>
          <w:kern w:val="0"/>
          <w:sz w:val="22"/>
          <w:szCs w:val="22"/>
          <w:lang w:val="en-IN" w:eastAsia="en-US"/>
        </w:rPr>
        <w:t xml:space="preserve">ly tested in </w:t>
      </w:r>
      <w:r w:rsidR="00577CA9">
        <w:rPr>
          <w:rFonts w:eastAsia="Times New Roman"/>
          <w:kern w:val="0"/>
          <w:sz w:val="22"/>
          <w:szCs w:val="22"/>
          <w:lang w:val="en-IN" w:eastAsia="en-US"/>
        </w:rPr>
        <w:t xml:space="preserve">a </w:t>
      </w:r>
      <w:r w:rsidRPr="00520A27">
        <w:rPr>
          <w:rFonts w:eastAsia="Times New Roman"/>
          <w:kern w:val="0"/>
          <w:sz w:val="22"/>
          <w:szCs w:val="22"/>
          <w:lang w:val="en-IN" w:eastAsia="en-US"/>
        </w:rPr>
        <w:t>laboratory setting with people transferring all the positive and negative emotions to others [9]. Emotional contagion can be triggered by facial expressions, indirect human interactions, and observing other people's behavior in direct and indirect interactions.</w:t>
      </w:r>
    </w:p>
    <w:p w14:paraId="6D9C6B29" w14:textId="25422DE1" w:rsidR="00520A27" w:rsidRPr="00520A27" w:rsidRDefault="00520A27" w:rsidP="00505BE8">
      <w:pPr>
        <w:widowControl/>
        <w:spacing w:line="276" w:lineRule="auto"/>
        <w:ind w:firstLine="720"/>
        <w:jc w:val="both"/>
        <w:rPr>
          <w:rFonts w:eastAsia="Times New Roman"/>
          <w:kern w:val="0"/>
          <w:sz w:val="22"/>
          <w:szCs w:val="22"/>
          <w:lang w:val="en-IN" w:eastAsia="en-US"/>
        </w:rPr>
      </w:pPr>
      <w:r w:rsidRPr="00520A27">
        <w:rPr>
          <w:rFonts w:eastAsia="Times New Roman"/>
          <w:kern w:val="0"/>
          <w:sz w:val="22"/>
          <w:szCs w:val="22"/>
          <w:lang w:val="en-IN" w:eastAsia="en-US"/>
        </w:rPr>
        <w:t xml:space="preserve">Furthermore, emotional contagion can be triggered physiologically by synchronizing with the emotional state of others during human interactions. The present study can become the basis of research that further refines and compares the </w:t>
      </w:r>
      <w:r w:rsidR="00577CA9">
        <w:rPr>
          <w:rFonts w:eastAsia="Times New Roman"/>
          <w:kern w:val="0"/>
          <w:sz w:val="22"/>
          <w:szCs w:val="22"/>
          <w:lang w:val="en-IN" w:eastAsia="en-US"/>
        </w:rPr>
        <w:t>various techniques and tools' efficacy</w:t>
      </w:r>
      <w:r w:rsidRPr="00520A27">
        <w:rPr>
          <w:rFonts w:eastAsia="Times New Roman"/>
          <w:kern w:val="0"/>
          <w:sz w:val="22"/>
          <w:szCs w:val="22"/>
          <w:lang w:val="en-IN" w:eastAsia="en-US"/>
        </w:rPr>
        <w:t xml:space="preserve">. The study identifies guidelines for research on consumer attitude through emotional contagion that can be especially interesting for academia and marketing practitioners. The findings are </w:t>
      </w:r>
      <w:r w:rsidR="00577CA9">
        <w:rPr>
          <w:rFonts w:eastAsia="Times New Roman"/>
          <w:kern w:val="0"/>
          <w:sz w:val="22"/>
          <w:szCs w:val="22"/>
          <w:lang w:val="en-IN" w:eastAsia="en-US"/>
        </w:rPr>
        <w:t>essential</w:t>
      </w:r>
      <w:r w:rsidRPr="00520A27">
        <w:rPr>
          <w:rFonts w:eastAsia="Times New Roman"/>
          <w:kern w:val="0"/>
          <w:sz w:val="22"/>
          <w:szCs w:val="22"/>
          <w:lang w:val="en-IN" w:eastAsia="en-US"/>
        </w:rPr>
        <w:t xml:space="preserve"> for field marketers interested in developing new individualized approaches in their commercial strategies and marketing in general [10]. Evidence shows that people share their emotions on social media. People are highly motivated to post emotional content during </w:t>
      </w:r>
      <w:r w:rsidR="00577CA9">
        <w:rPr>
          <w:rFonts w:eastAsia="Times New Roman"/>
          <w:kern w:val="0"/>
          <w:sz w:val="22"/>
          <w:szCs w:val="22"/>
          <w:lang w:val="en-IN" w:eastAsia="en-US"/>
        </w:rPr>
        <w:t>a</w:t>
      </w:r>
      <w:r w:rsidRPr="00520A27">
        <w:rPr>
          <w:rFonts w:eastAsia="Times New Roman"/>
          <w:kern w:val="0"/>
          <w:sz w:val="22"/>
          <w:szCs w:val="22"/>
          <w:lang w:val="en-IN" w:eastAsia="en-US"/>
        </w:rPr>
        <w:t xml:space="preserve"> time of crisis. Emotional contagion theory demonstrates </w:t>
      </w:r>
      <w:r w:rsidR="00577CA9">
        <w:rPr>
          <w:rFonts w:eastAsia="Times New Roman"/>
          <w:kern w:val="0"/>
          <w:sz w:val="22"/>
          <w:szCs w:val="22"/>
          <w:lang w:val="en-IN" w:eastAsia="en-US"/>
        </w:rPr>
        <w:t>how</w:t>
      </w:r>
      <w:r w:rsidRPr="00520A27">
        <w:rPr>
          <w:rFonts w:eastAsia="Times New Roman"/>
          <w:kern w:val="0"/>
          <w:sz w:val="22"/>
          <w:szCs w:val="22"/>
          <w:lang w:val="en-IN" w:eastAsia="en-US"/>
        </w:rPr>
        <w:t xml:space="preserve"> </w:t>
      </w:r>
      <w:r w:rsidR="00577CA9">
        <w:rPr>
          <w:rFonts w:eastAsia="Times New Roman"/>
          <w:kern w:val="0"/>
          <w:sz w:val="22"/>
          <w:szCs w:val="22"/>
          <w:lang w:val="en-IN" w:eastAsia="en-US"/>
        </w:rPr>
        <w:t>one person's emotions</w:t>
      </w:r>
      <w:r w:rsidRPr="00520A27">
        <w:rPr>
          <w:rFonts w:eastAsia="Times New Roman"/>
          <w:kern w:val="0"/>
          <w:sz w:val="22"/>
          <w:szCs w:val="22"/>
          <w:lang w:val="en-IN" w:eastAsia="en-US"/>
        </w:rPr>
        <w:t xml:space="preserve"> can provoke </w:t>
      </w:r>
      <w:r w:rsidR="00B24E3A">
        <w:rPr>
          <w:rFonts w:eastAsia="Times New Roman"/>
          <w:kern w:val="0"/>
          <w:sz w:val="22"/>
          <w:szCs w:val="22"/>
          <w:lang w:val="en-IN" w:eastAsia="en-US"/>
        </w:rPr>
        <w:t>similar emotions and behaviors</w:t>
      </w:r>
      <w:r w:rsidRPr="00520A27">
        <w:rPr>
          <w:rFonts w:eastAsia="Times New Roman"/>
          <w:kern w:val="0"/>
          <w:sz w:val="22"/>
          <w:szCs w:val="22"/>
          <w:lang w:val="en-IN" w:eastAsia="en-US"/>
        </w:rPr>
        <w:t xml:space="preserve"> in other individuals [11]. An emotional climate </w:t>
      </w:r>
      <w:r w:rsidR="00577CA9">
        <w:rPr>
          <w:rFonts w:eastAsia="Times New Roman"/>
          <w:kern w:val="0"/>
          <w:sz w:val="22"/>
          <w:szCs w:val="22"/>
          <w:lang w:val="en-IN" w:eastAsia="en-US"/>
        </w:rPr>
        <w:t>results from</w:t>
      </w:r>
      <w:r w:rsidRPr="00520A27">
        <w:rPr>
          <w:rFonts w:eastAsia="Times New Roman"/>
          <w:kern w:val="0"/>
          <w:sz w:val="22"/>
          <w:szCs w:val="22"/>
          <w:lang w:val="en-IN" w:eastAsia="en-US"/>
        </w:rPr>
        <w:t xml:space="preserve"> emotional contagion that was because of emotion sharing via social media [12]. Based on these findings from previous literature</w:t>
      </w:r>
      <w:r w:rsidR="00577CA9">
        <w:rPr>
          <w:rFonts w:eastAsia="Times New Roman"/>
          <w:kern w:val="0"/>
          <w:sz w:val="22"/>
          <w:szCs w:val="22"/>
          <w:lang w:val="en-IN" w:eastAsia="en-US"/>
        </w:rPr>
        <w:t>,</w:t>
      </w:r>
      <w:r w:rsidRPr="00520A27">
        <w:rPr>
          <w:rFonts w:eastAsia="Times New Roman"/>
          <w:kern w:val="0"/>
          <w:sz w:val="22"/>
          <w:szCs w:val="22"/>
          <w:lang w:val="en-IN" w:eastAsia="en-US"/>
        </w:rPr>
        <w:t xml:space="preserve"> we hypothesized,</w:t>
      </w:r>
    </w:p>
    <w:p w14:paraId="73DCE2B3" w14:textId="76E6CAE1" w:rsidR="00520A27" w:rsidRPr="00A57916" w:rsidRDefault="00520A27" w:rsidP="00505BE8">
      <w:pPr>
        <w:widowControl/>
        <w:spacing w:beforeLines="50" w:before="180" w:afterLines="50" w:after="180" w:line="276" w:lineRule="auto"/>
        <w:ind w:left="720"/>
        <w:jc w:val="both"/>
        <w:rPr>
          <w:rFonts w:eastAsia="Times New Roman"/>
          <w:kern w:val="0"/>
          <w:sz w:val="22"/>
          <w:szCs w:val="22"/>
          <w:lang w:val="en-IN" w:eastAsia="en-US"/>
        </w:rPr>
      </w:pPr>
      <w:r w:rsidRPr="00520A27">
        <w:rPr>
          <w:rFonts w:eastAsia="Times New Roman"/>
          <w:kern w:val="0"/>
          <w:sz w:val="22"/>
          <w:szCs w:val="22"/>
          <w:lang w:val="en-IN" w:eastAsia="en-US"/>
        </w:rPr>
        <w:t>H</w:t>
      </w:r>
      <w:r w:rsidRPr="00520A27">
        <w:rPr>
          <w:rFonts w:eastAsia="Times New Roman"/>
          <w:kern w:val="0"/>
          <w:sz w:val="22"/>
          <w:szCs w:val="22"/>
          <w:vertAlign w:val="subscript"/>
          <w:lang w:val="en-IN" w:eastAsia="en-US"/>
        </w:rPr>
        <w:t>1:</w:t>
      </w:r>
      <w:r w:rsidRPr="00520A27">
        <w:rPr>
          <w:rFonts w:eastAsia="Times New Roman"/>
          <w:kern w:val="0"/>
          <w:sz w:val="22"/>
          <w:szCs w:val="22"/>
          <w:lang w:val="en-IN" w:eastAsia="en-US"/>
        </w:rPr>
        <w:t xml:space="preserve"> There is a significant relationship between content and emotional contagion</w:t>
      </w:r>
    </w:p>
    <w:p w14:paraId="09779595" w14:textId="3F200E53" w:rsidR="00520A27" w:rsidRPr="00520A27" w:rsidRDefault="00520A27" w:rsidP="00505BE8">
      <w:pPr>
        <w:widowControl/>
        <w:spacing w:line="276" w:lineRule="auto"/>
        <w:jc w:val="both"/>
        <w:rPr>
          <w:rFonts w:eastAsia="Times New Roman"/>
          <w:b/>
          <w:color w:val="000000"/>
          <w:kern w:val="0"/>
          <w:sz w:val="22"/>
          <w:szCs w:val="22"/>
          <w:lang w:val="en-IN" w:eastAsia="en-US"/>
        </w:rPr>
      </w:pPr>
      <w:r w:rsidRPr="00520A27">
        <w:rPr>
          <w:rFonts w:eastAsia="Times New Roman"/>
          <w:b/>
          <w:color w:val="000000"/>
          <w:kern w:val="0"/>
          <w:sz w:val="22"/>
          <w:szCs w:val="22"/>
          <w:lang w:val="en-IN" w:eastAsia="en-US"/>
        </w:rPr>
        <w:t>Visual Content:</w:t>
      </w:r>
    </w:p>
    <w:p w14:paraId="1DA7DC3C" w14:textId="7F29D898" w:rsidR="00520A27" w:rsidRPr="00520A27" w:rsidRDefault="00520A27" w:rsidP="00505BE8">
      <w:pPr>
        <w:widowControl/>
        <w:spacing w:line="276" w:lineRule="auto"/>
        <w:ind w:firstLine="720"/>
        <w:jc w:val="both"/>
        <w:rPr>
          <w:rFonts w:eastAsia="Times New Roman"/>
          <w:kern w:val="0"/>
          <w:sz w:val="22"/>
          <w:szCs w:val="22"/>
          <w:lang w:val="en-IN" w:eastAsia="en-US"/>
        </w:rPr>
      </w:pPr>
      <w:r w:rsidRPr="00520A27">
        <w:rPr>
          <w:rFonts w:eastAsia="Times New Roman"/>
          <w:kern w:val="0"/>
          <w:sz w:val="22"/>
          <w:szCs w:val="22"/>
          <w:lang w:val="en-IN" w:eastAsia="en-US"/>
        </w:rPr>
        <w:t xml:space="preserve">Visual content refers to the advertisement or posts in a social commerce platform </w:t>
      </w:r>
      <w:r w:rsidR="00577CA9">
        <w:rPr>
          <w:rFonts w:eastAsia="Times New Roman"/>
          <w:kern w:val="0"/>
          <w:sz w:val="22"/>
          <w:szCs w:val="22"/>
          <w:lang w:val="en-IN" w:eastAsia="en-US"/>
        </w:rPr>
        <w:t>containing graphical representations or videos with</w:t>
      </w:r>
      <w:r w:rsidRPr="00520A27">
        <w:rPr>
          <w:rFonts w:eastAsia="Times New Roman"/>
          <w:kern w:val="0"/>
          <w:sz w:val="22"/>
          <w:szCs w:val="22"/>
          <w:lang w:val="en-IN" w:eastAsia="en-US"/>
        </w:rPr>
        <w:t xml:space="preserve"> the main content embedded in them [13]. Visual imagery is one of the prime mechanisms in inducing emotions. </w:t>
      </w:r>
      <w:r w:rsidR="00577CA9">
        <w:rPr>
          <w:rFonts w:eastAsia="Times New Roman"/>
          <w:kern w:val="0"/>
          <w:sz w:val="22"/>
          <w:szCs w:val="22"/>
          <w:lang w:val="en-IN" w:eastAsia="en-US"/>
        </w:rPr>
        <w:t>This paper</w:t>
      </w:r>
      <w:r w:rsidRPr="00520A27">
        <w:rPr>
          <w:rFonts w:eastAsia="Times New Roman"/>
          <w:kern w:val="0"/>
          <w:sz w:val="22"/>
          <w:szCs w:val="22"/>
          <w:lang w:val="en-IN" w:eastAsia="en-US"/>
        </w:rPr>
        <w:t xml:space="preserve"> recognized five additional mechanisms with visual content. Research studies also tested </w:t>
      </w:r>
      <w:r w:rsidR="00577CA9">
        <w:rPr>
          <w:rFonts w:eastAsia="Times New Roman"/>
          <w:kern w:val="0"/>
          <w:sz w:val="22"/>
          <w:szCs w:val="22"/>
          <w:lang w:val="en-IN" w:eastAsia="en-US"/>
        </w:rPr>
        <w:t>the effects of visual inputs and listeners'</w:t>
      </w:r>
      <w:r w:rsidRPr="00520A27">
        <w:rPr>
          <w:rFonts w:eastAsia="Times New Roman"/>
          <w:kern w:val="0"/>
          <w:sz w:val="22"/>
          <w:szCs w:val="22"/>
          <w:lang w:val="en-IN" w:eastAsia="en-US"/>
        </w:rPr>
        <w:t xml:space="preserve"> experience of music [14]. Visual effect with music triggers myriad emotions [15-16]. </w:t>
      </w:r>
      <w:r w:rsidR="00F1768D">
        <w:rPr>
          <w:rFonts w:eastAsia="Times New Roman"/>
          <w:kern w:val="0"/>
          <w:sz w:val="22"/>
          <w:szCs w:val="22"/>
          <w:lang w:val="en-IN" w:eastAsia="en-US"/>
        </w:rPr>
        <w:t>Emotion</w:t>
      </w:r>
      <w:r w:rsidR="00577CA9" w:rsidRPr="00F1768D">
        <w:rPr>
          <w:rFonts w:eastAsia="Times New Roman"/>
          <w:kern w:val="0"/>
          <w:sz w:val="22"/>
          <w:szCs w:val="22"/>
          <w:lang w:val="en-IN" w:eastAsia="en-US"/>
        </w:rPr>
        <w:t>-</w:t>
      </w:r>
      <w:r w:rsidRPr="00F1768D">
        <w:rPr>
          <w:rFonts w:eastAsia="Times New Roman"/>
          <w:kern w:val="0"/>
          <w:sz w:val="22"/>
          <w:szCs w:val="22"/>
          <w:lang w:val="en-IN" w:eastAsia="en-US"/>
        </w:rPr>
        <w:t xml:space="preserve">related studies are </w:t>
      </w:r>
      <w:r w:rsidR="00F1768D">
        <w:rPr>
          <w:rFonts w:eastAsia="Times New Roman"/>
          <w:kern w:val="0"/>
          <w:sz w:val="22"/>
          <w:szCs w:val="22"/>
          <w:lang w:val="en-IN" w:eastAsia="en-US"/>
        </w:rPr>
        <w:t>already existing</w:t>
      </w:r>
      <w:r w:rsidRPr="00F1768D">
        <w:rPr>
          <w:rFonts w:eastAsia="Times New Roman"/>
          <w:kern w:val="0"/>
          <w:sz w:val="22"/>
          <w:szCs w:val="22"/>
          <w:lang w:val="en-IN" w:eastAsia="en-US"/>
        </w:rPr>
        <w:t xml:space="preserve"> </w:t>
      </w:r>
      <w:r w:rsidR="00F1768D">
        <w:rPr>
          <w:rFonts w:eastAsia="Times New Roman"/>
          <w:kern w:val="0"/>
          <w:sz w:val="22"/>
          <w:szCs w:val="22"/>
          <w:lang w:val="en-IN" w:eastAsia="en-US"/>
        </w:rPr>
        <w:t>in the present context</w:t>
      </w:r>
      <w:r w:rsidR="00577CA9" w:rsidRPr="00F1768D">
        <w:rPr>
          <w:rFonts w:eastAsia="Times New Roman"/>
          <w:kern w:val="0"/>
          <w:sz w:val="22"/>
          <w:szCs w:val="22"/>
          <w:lang w:val="en-IN" w:eastAsia="en-US"/>
        </w:rPr>
        <w:t>,</w:t>
      </w:r>
      <w:r w:rsidRPr="00F1768D">
        <w:rPr>
          <w:rFonts w:eastAsia="Times New Roman"/>
          <w:kern w:val="0"/>
          <w:sz w:val="22"/>
          <w:szCs w:val="22"/>
          <w:lang w:val="en-IN" w:eastAsia="en-US"/>
        </w:rPr>
        <w:t xml:space="preserve"> and not sufficient studies have been conducted in the area of emotional contagion</w:t>
      </w:r>
      <w:r w:rsidRPr="00520A27">
        <w:rPr>
          <w:rFonts w:eastAsia="Times New Roman"/>
          <w:kern w:val="0"/>
          <w:sz w:val="22"/>
          <w:szCs w:val="22"/>
          <w:lang w:val="en-IN" w:eastAsia="en-US"/>
        </w:rPr>
        <w:t xml:space="preserve"> [17-18].</w:t>
      </w:r>
      <w:r w:rsidR="00577CA9">
        <w:rPr>
          <w:rFonts w:eastAsia="Times New Roman"/>
          <w:kern w:val="0"/>
          <w:sz w:val="22"/>
          <w:szCs w:val="22"/>
          <w:lang w:val="en-IN" w:eastAsia="en-US"/>
        </w:rPr>
        <w:t xml:space="preserve"> </w:t>
      </w:r>
      <w:r w:rsidRPr="00520A27">
        <w:rPr>
          <w:rFonts w:eastAsia="Times New Roman"/>
          <w:color w:val="000000"/>
          <w:kern w:val="0"/>
          <w:sz w:val="22"/>
          <w:szCs w:val="22"/>
          <w:lang w:val="en-IN" w:eastAsia="en-US"/>
        </w:rPr>
        <w:t xml:space="preserve">The visual content gained attraction rapidly because of websites like Facebook, Instagram, Twitter, Tumblr, Pinterest, etc. Photo-centric websites like these are the root cause of the popularity of </w:t>
      </w:r>
      <w:r w:rsidRPr="00520A27">
        <w:rPr>
          <w:rFonts w:eastAsia="Times New Roman"/>
          <w:color w:val="000000"/>
          <w:kern w:val="0"/>
          <w:sz w:val="22"/>
          <w:szCs w:val="22"/>
          <w:lang w:val="en-IN" w:eastAsia="en-US"/>
        </w:rPr>
        <w:lastRenderedPageBreak/>
        <w:t xml:space="preserve">visual content. Facebook leads the other website </w:t>
      </w:r>
      <w:r w:rsidR="00577CA9">
        <w:rPr>
          <w:rFonts w:eastAsia="Times New Roman"/>
          <w:color w:val="000000"/>
          <w:kern w:val="0"/>
          <w:sz w:val="22"/>
          <w:szCs w:val="22"/>
          <w:lang w:val="en-IN" w:eastAsia="en-US"/>
        </w:rPr>
        <w:t>regarding</w:t>
      </w:r>
      <w:r w:rsidRPr="00520A27">
        <w:rPr>
          <w:rFonts w:eastAsia="Times New Roman"/>
          <w:color w:val="000000"/>
          <w:kern w:val="0"/>
          <w:sz w:val="22"/>
          <w:szCs w:val="22"/>
          <w:lang w:val="en-IN" w:eastAsia="en-US"/>
        </w:rPr>
        <w:t xml:space="preserve"> the number of users, but Instagram and Pinterest occupy second and third positions. Even though they are not the leader in terms of usage, both Instagram and Pinterest are narrowly focused on aspirational imagery associated with impulsive buying due to the pictured product. </w:t>
      </w:r>
      <w:r w:rsidRPr="00520A27">
        <w:rPr>
          <w:rFonts w:eastAsia="Times New Roman"/>
          <w:kern w:val="0"/>
          <w:sz w:val="22"/>
          <w:szCs w:val="22"/>
          <w:lang w:val="en-IN" w:eastAsia="en-US"/>
        </w:rPr>
        <w:t>Domain</w:t>
      </w:r>
      <w:r w:rsidR="00577CA9">
        <w:rPr>
          <w:rFonts w:eastAsia="Times New Roman"/>
          <w:kern w:val="0"/>
          <w:sz w:val="22"/>
          <w:szCs w:val="22"/>
          <w:lang w:val="en-IN" w:eastAsia="en-US"/>
        </w:rPr>
        <w:t>-</w:t>
      </w:r>
      <w:r w:rsidRPr="00520A27">
        <w:rPr>
          <w:rFonts w:eastAsia="Times New Roman"/>
          <w:kern w:val="0"/>
          <w:sz w:val="22"/>
          <w:szCs w:val="22"/>
          <w:lang w:val="en-IN" w:eastAsia="en-US"/>
        </w:rPr>
        <w:t>specific videos appeared to trigger more strong emotions. They further found that general pictures that are not connected to the music will not stimulate the emotions in an individual [19]. Research also found the relationship between validation of visual imagery and emotions</w:t>
      </w:r>
      <w:r w:rsidR="00577CA9">
        <w:rPr>
          <w:rFonts w:eastAsia="Times New Roman"/>
          <w:kern w:val="0"/>
          <w:sz w:val="22"/>
          <w:szCs w:val="22"/>
          <w:lang w:val="en-IN" w:eastAsia="en-US"/>
        </w:rPr>
        <w:t xml:space="preserve"> as </w:t>
      </w:r>
      <w:r w:rsidRPr="00520A27">
        <w:rPr>
          <w:rFonts w:eastAsia="Times New Roman"/>
          <w:kern w:val="0"/>
          <w:sz w:val="22"/>
          <w:szCs w:val="22"/>
          <w:lang w:val="en-IN" w:eastAsia="en-US"/>
        </w:rPr>
        <w:t xml:space="preserve">complex [20]. Content marketing highlights more </w:t>
      </w:r>
      <w:r w:rsidR="00577CA9">
        <w:rPr>
          <w:rFonts w:eastAsia="Times New Roman"/>
          <w:kern w:val="0"/>
          <w:sz w:val="22"/>
          <w:szCs w:val="22"/>
          <w:lang w:val="en-IN" w:eastAsia="en-US"/>
        </w:rPr>
        <w:t>engaging</w:t>
      </w:r>
      <w:r w:rsidRPr="00520A27">
        <w:rPr>
          <w:rFonts w:eastAsia="Times New Roman"/>
          <w:kern w:val="0"/>
          <w:sz w:val="22"/>
          <w:szCs w:val="22"/>
          <w:lang w:val="en-IN" w:eastAsia="en-US"/>
        </w:rPr>
        <w:t xml:space="preserve"> content to influence consumers [21].</w:t>
      </w:r>
    </w:p>
    <w:p w14:paraId="05C988D8" w14:textId="0F021825" w:rsidR="00520A27" w:rsidRPr="00520A27" w:rsidRDefault="00520A27" w:rsidP="00505BE8">
      <w:pPr>
        <w:widowControl/>
        <w:spacing w:beforeLines="50" w:before="180" w:afterLines="50" w:after="180" w:line="276" w:lineRule="auto"/>
        <w:ind w:left="720"/>
        <w:jc w:val="both"/>
        <w:rPr>
          <w:rFonts w:eastAsia="Times New Roman"/>
          <w:kern w:val="0"/>
          <w:sz w:val="22"/>
          <w:szCs w:val="22"/>
          <w:lang w:val="en-IN" w:eastAsia="en-US"/>
        </w:rPr>
      </w:pPr>
      <w:r w:rsidRPr="00520A27">
        <w:rPr>
          <w:rFonts w:eastAsia="Times New Roman"/>
          <w:kern w:val="0"/>
          <w:sz w:val="22"/>
          <w:szCs w:val="22"/>
          <w:lang w:val="en-IN" w:eastAsia="en-US"/>
        </w:rPr>
        <w:t>H</w:t>
      </w:r>
      <w:r w:rsidRPr="00520A27">
        <w:rPr>
          <w:rFonts w:eastAsia="Times New Roman"/>
          <w:kern w:val="0"/>
          <w:sz w:val="22"/>
          <w:szCs w:val="22"/>
          <w:vertAlign w:val="subscript"/>
          <w:lang w:val="en-IN" w:eastAsia="en-US"/>
        </w:rPr>
        <w:t>1c</w:t>
      </w:r>
      <w:r w:rsidRPr="00520A27">
        <w:rPr>
          <w:rFonts w:eastAsia="Times New Roman"/>
          <w:kern w:val="0"/>
          <w:sz w:val="22"/>
          <w:szCs w:val="22"/>
          <w:lang w:val="en-IN" w:eastAsia="en-US"/>
        </w:rPr>
        <w:t>: There is a significant relationship between visual content and emotional contagion.</w:t>
      </w:r>
    </w:p>
    <w:p w14:paraId="1F9385EF" w14:textId="77777777" w:rsidR="00520A27" w:rsidRPr="00520A27" w:rsidRDefault="00520A27" w:rsidP="00505BE8">
      <w:pPr>
        <w:widowControl/>
        <w:spacing w:line="276" w:lineRule="auto"/>
        <w:jc w:val="both"/>
        <w:rPr>
          <w:rFonts w:eastAsia="Times New Roman"/>
          <w:b/>
          <w:kern w:val="0"/>
          <w:sz w:val="22"/>
          <w:szCs w:val="22"/>
          <w:lang w:val="en-IN" w:eastAsia="en-US"/>
        </w:rPr>
      </w:pPr>
      <w:r w:rsidRPr="00520A27">
        <w:rPr>
          <w:rFonts w:eastAsia="Times New Roman"/>
          <w:b/>
          <w:kern w:val="0"/>
          <w:sz w:val="22"/>
          <w:szCs w:val="22"/>
          <w:lang w:val="en-IN" w:eastAsia="en-US"/>
        </w:rPr>
        <w:t>Audio Content:</w:t>
      </w:r>
    </w:p>
    <w:p w14:paraId="23372464" w14:textId="5E650766" w:rsidR="00520A27" w:rsidRPr="00A57916" w:rsidRDefault="00520A27" w:rsidP="00505BE8">
      <w:pPr>
        <w:widowControl/>
        <w:spacing w:line="276" w:lineRule="auto"/>
        <w:ind w:firstLine="720"/>
        <w:jc w:val="both"/>
        <w:rPr>
          <w:rFonts w:eastAsia="Times New Roman"/>
          <w:kern w:val="0"/>
          <w:sz w:val="22"/>
          <w:szCs w:val="22"/>
          <w:lang w:val="en-IN" w:eastAsia="en-US"/>
        </w:rPr>
      </w:pPr>
      <w:r w:rsidRPr="00520A27">
        <w:rPr>
          <w:rFonts w:eastAsia="Times New Roman"/>
          <w:kern w:val="0"/>
          <w:sz w:val="22"/>
          <w:szCs w:val="22"/>
          <w:lang w:val="en-IN" w:eastAsia="en-US"/>
        </w:rPr>
        <w:t>Audio contents can be of different forms ranging from direct vocal promotional advertisements to particular music</w:t>
      </w:r>
      <w:r w:rsidR="00577CA9">
        <w:rPr>
          <w:rFonts w:eastAsia="Times New Roman"/>
          <w:kern w:val="0"/>
          <w:sz w:val="22"/>
          <w:szCs w:val="22"/>
          <w:lang w:val="en-IN" w:eastAsia="en-US"/>
        </w:rPr>
        <w:t>,</w:t>
      </w:r>
      <w:r w:rsidRPr="00520A27">
        <w:rPr>
          <w:rFonts w:eastAsia="Times New Roman"/>
          <w:kern w:val="0"/>
          <w:sz w:val="22"/>
          <w:szCs w:val="22"/>
          <w:lang w:val="en-IN" w:eastAsia="en-US"/>
        </w:rPr>
        <w:t xml:space="preserve"> which triggers the brand image onto the customer's mind. Previous studies have collected evidence of music's relationship with emotions [22 – 24]. The audio content stimulates good brand recollection than the word type as listening to a particular message will be more pleasing than reading a hefty paragraph of description of the product [25] (Iyengar, 2010). Social commerce apps like Spotify allow the seller to advertise on their platform as it has millions of users worldwide. Music impact and role in emotion development needs to be probed.</w:t>
      </w:r>
      <w:r w:rsidR="00841E8E">
        <w:rPr>
          <w:rFonts w:eastAsia="Times New Roman"/>
          <w:kern w:val="0"/>
          <w:sz w:val="22"/>
          <w:szCs w:val="22"/>
          <w:lang w:val="en-IN" w:eastAsia="en-US"/>
        </w:rPr>
        <w:t xml:space="preserve"> </w:t>
      </w:r>
      <w:r w:rsidRPr="00520A27">
        <w:rPr>
          <w:rFonts w:eastAsia="Times New Roman"/>
          <w:kern w:val="0"/>
          <w:sz w:val="22"/>
          <w:szCs w:val="22"/>
          <w:lang w:val="en-IN" w:eastAsia="en-US"/>
        </w:rPr>
        <w:t>The advertisements are purely based on geography, and the advertisers use special music to make it sound pleasing to the listeners</w:t>
      </w:r>
      <w:r w:rsidR="00577CA9">
        <w:rPr>
          <w:rFonts w:eastAsia="Times New Roman"/>
          <w:kern w:val="0"/>
          <w:sz w:val="22"/>
          <w:szCs w:val="22"/>
          <w:lang w:val="en-IN" w:eastAsia="en-US"/>
        </w:rPr>
        <w:t>. R</w:t>
      </w:r>
      <w:r w:rsidRPr="00520A27">
        <w:rPr>
          <w:rFonts w:eastAsia="Times New Roman"/>
          <w:kern w:val="0"/>
          <w:sz w:val="22"/>
          <w:szCs w:val="22"/>
          <w:lang w:val="en-IN" w:eastAsia="en-US"/>
        </w:rPr>
        <w:t>epetitive listening will engrave that brand into the customer's mind [26]. Mimicry triggers emotions in human</w:t>
      </w:r>
      <w:r w:rsidR="00577CA9">
        <w:rPr>
          <w:rFonts w:eastAsia="Times New Roman"/>
          <w:kern w:val="0"/>
          <w:sz w:val="22"/>
          <w:szCs w:val="22"/>
          <w:lang w:val="en-IN" w:eastAsia="en-US"/>
        </w:rPr>
        <w:t>s</w:t>
      </w:r>
      <w:r w:rsidRPr="00520A27">
        <w:rPr>
          <w:rFonts w:eastAsia="Times New Roman"/>
          <w:kern w:val="0"/>
          <w:sz w:val="22"/>
          <w:szCs w:val="22"/>
          <w:lang w:val="en-IN" w:eastAsia="en-US"/>
        </w:rPr>
        <w:t xml:space="preserve"> as well as non-humans [27]. </w:t>
      </w:r>
    </w:p>
    <w:p w14:paraId="374CF9CC" w14:textId="64D9CA97" w:rsidR="00520A27" w:rsidRPr="00A57916" w:rsidRDefault="00520A27" w:rsidP="00505BE8">
      <w:pPr>
        <w:widowControl/>
        <w:spacing w:beforeLines="50" w:before="180" w:afterLines="50" w:after="180" w:line="276" w:lineRule="auto"/>
        <w:ind w:left="426"/>
        <w:jc w:val="both"/>
        <w:rPr>
          <w:rFonts w:eastAsia="Times New Roman"/>
          <w:kern w:val="0"/>
          <w:sz w:val="22"/>
          <w:szCs w:val="22"/>
          <w:lang w:val="en-IN" w:eastAsia="en-US"/>
        </w:rPr>
      </w:pPr>
      <w:r w:rsidRPr="00520A27">
        <w:rPr>
          <w:rFonts w:eastAsia="Times New Roman"/>
          <w:kern w:val="0"/>
          <w:sz w:val="22"/>
          <w:szCs w:val="22"/>
          <w:lang w:val="en-IN" w:eastAsia="en-US"/>
        </w:rPr>
        <w:t>H</w:t>
      </w:r>
      <w:r w:rsidRPr="00520A27">
        <w:rPr>
          <w:rFonts w:eastAsia="Times New Roman"/>
          <w:kern w:val="0"/>
          <w:sz w:val="22"/>
          <w:szCs w:val="22"/>
          <w:vertAlign w:val="subscript"/>
          <w:lang w:val="en-IN" w:eastAsia="en-US"/>
        </w:rPr>
        <w:t>1a</w:t>
      </w:r>
      <w:r w:rsidRPr="00520A27">
        <w:rPr>
          <w:rFonts w:eastAsia="Times New Roman"/>
          <w:kern w:val="0"/>
          <w:sz w:val="22"/>
          <w:szCs w:val="22"/>
          <w:lang w:val="en-IN" w:eastAsia="en-US"/>
        </w:rPr>
        <w:t>: There is a significant relationship between audio content and emotional contagion.</w:t>
      </w:r>
    </w:p>
    <w:p w14:paraId="1F17C753" w14:textId="77777777" w:rsidR="00520A27" w:rsidRPr="00520A27" w:rsidRDefault="00520A27" w:rsidP="00505BE8">
      <w:pPr>
        <w:widowControl/>
        <w:spacing w:line="276" w:lineRule="auto"/>
        <w:jc w:val="both"/>
        <w:rPr>
          <w:rFonts w:eastAsia="Times New Roman"/>
          <w:b/>
          <w:color w:val="000000"/>
          <w:kern w:val="0"/>
          <w:sz w:val="22"/>
          <w:szCs w:val="22"/>
          <w:lang w:val="en-IN" w:eastAsia="en-US"/>
        </w:rPr>
      </w:pPr>
      <w:r w:rsidRPr="00520A27">
        <w:rPr>
          <w:rFonts w:eastAsia="Times New Roman"/>
          <w:b/>
          <w:color w:val="000000"/>
          <w:kern w:val="0"/>
          <w:sz w:val="22"/>
          <w:szCs w:val="22"/>
          <w:lang w:val="en-IN" w:eastAsia="en-US"/>
        </w:rPr>
        <w:t>Text Content:</w:t>
      </w:r>
    </w:p>
    <w:p w14:paraId="22E31C10" w14:textId="123DEA56" w:rsidR="00520A27" w:rsidRPr="00520A27" w:rsidRDefault="00520A27" w:rsidP="00505BE8">
      <w:pPr>
        <w:widowControl/>
        <w:spacing w:line="276" w:lineRule="auto"/>
        <w:ind w:firstLine="426"/>
        <w:jc w:val="both"/>
        <w:rPr>
          <w:rFonts w:eastAsia="Times New Roman"/>
          <w:kern w:val="0"/>
          <w:sz w:val="22"/>
          <w:szCs w:val="22"/>
          <w:lang w:val="en-IN" w:eastAsia="en-US"/>
        </w:rPr>
      </w:pPr>
      <w:r w:rsidRPr="00520A27">
        <w:rPr>
          <w:rFonts w:eastAsia="Times New Roman"/>
          <w:color w:val="000000"/>
          <w:kern w:val="0"/>
          <w:sz w:val="22"/>
          <w:szCs w:val="22"/>
          <w:lang w:val="en-IN" w:eastAsia="en-US"/>
        </w:rPr>
        <w:t xml:space="preserve">Irrespective of what the content is, text content is the one that has to be accessed first in most of the websites to date. An attractive title </w:t>
      </w:r>
      <w:r w:rsidR="00577CA9">
        <w:rPr>
          <w:rFonts w:eastAsia="Times New Roman"/>
          <w:color w:val="000000"/>
          <w:kern w:val="0"/>
          <w:sz w:val="22"/>
          <w:szCs w:val="22"/>
          <w:lang w:val="en-IN" w:eastAsia="en-US"/>
        </w:rPr>
        <w:t>refers</w:t>
      </w:r>
      <w:r w:rsidRPr="00520A27">
        <w:rPr>
          <w:rFonts w:eastAsia="Times New Roman"/>
          <w:color w:val="000000"/>
          <w:kern w:val="0"/>
          <w:sz w:val="22"/>
          <w:szCs w:val="22"/>
          <w:lang w:val="en-IN" w:eastAsia="en-US"/>
        </w:rPr>
        <w:t xml:space="preserve"> to a product or a popular hashtag used to tag a particular specification all comes under the text conten</w:t>
      </w:r>
      <w:r w:rsidRPr="00520A27">
        <w:rPr>
          <w:rFonts w:eastAsia="Times New Roman"/>
          <w:kern w:val="0"/>
          <w:sz w:val="22"/>
          <w:szCs w:val="22"/>
          <w:lang w:val="en-IN" w:eastAsia="en-US"/>
        </w:rPr>
        <w:t xml:space="preserve">t. Words used by instructors </w:t>
      </w:r>
      <w:r w:rsidR="00841E8E">
        <w:rPr>
          <w:rFonts w:eastAsia="Times New Roman"/>
          <w:kern w:val="0"/>
          <w:sz w:val="22"/>
          <w:szCs w:val="22"/>
          <w:lang w:val="en-IN" w:eastAsia="en-US"/>
        </w:rPr>
        <w:t xml:space="preserve">can </w:t>
      </w:r>
      <w:r w:rsidRPr="00520A27">
        <w:rPr>
          <w:rFonts w:eastAsia="Times New Roman"/>
          <w:kern w:val="0"/>
          <w:sz w:val="22"/>
          <w:szCs w:val="22"/>
          <w:lang w:val="en-IN" w:eastAsia="en-US"/>
        </w:rPr>
        <w:t xml:space="preserve">influence the emotions of students. The study found students developed </w:t>
      </w:r>
      <w:r w:rsidR="00577CA9">
        <w:rPr>
          <w:rFonts w:eastAsia="Times New Roman"/>
          <w:kern w:val="0"/>
          <w:sz w:val="22"/>
          <w:szCs w:val="22"/>
          <w:lang w:val="en-IN" w:eastAsia="en-US"/>
        </w:rPr>
        <w:t xml:space="preserve">an </w:t>
      </w:r>
      <w:r w:rsidRPr="00520A27">
        <w:rPr>
          <w:rFonts w:eastAsia="Times New Roman"/>
          <w:kern w:val="0"/>
          <w:sz w:val="22"/>
          <w:szCs w:val="22"/>
          <w:lang w:val="en-IN" w:eastAsia="en-US"/>
        </w:rPr>
        <w:t>emotional attachment. In many social media websites like Instag</w:t>
      </w:r>
      <w:r w:rsidRPr="00520A27">
        <w:rPr>
          <w:rFonts w:eastAsia="Times New Roman"/>
          <w:color w:val="000000"/>
          <w:kern w:val="0"/>
          <w:sz w:val="22"/>
          <w:szCs w:val="22"/>
          <w:lang w:val="en-IN" w:eastAsia="en-US"/>
        </w:rPr>
        <w:t xml:space="preserve">ram, hashtags are used to tag the picture of products for easy identification. So even </w:t>
      </w:r>
      <w:r w:rsidRPr="00520A27">
        <w:rPr>
          <w:rFonts w:eastAsia="Times New Roman"/>
          <w:kern w:val="0"/>
          <w:sz w:val="22"/>
          <w:szCs w:val="22"/>
          <w:lang w:val="en-IN" w:eastAsia="en-US"/>
        </w:rPr>
        <w:t xml:space="preserve">though the most popular method is the visual content type, the word content </w:t>
      </w:r>
      <w:r w:rsidR="00577CA9">
        <w:rPr>
          <w:rFonts w:eastAsia="Times New Roman"/>
          <w:kern w:val="0"/>
          <w:sz w:val="22"/>
          <w:szCs w:val="22"/>
          <w:lang w:val="en-IN" w:eastAsia="en-US"/>
        </w:rPr>
        <w:t>backs</w:t>
      </w:r>
      <w:r w:rsidRPr="00520A27">
        <w:rPr>
          <w:rFonts w:eastAsia="Times New Roman"/>
          <w:kern w:val="0"/>
          <w:sz w:val="22"/>
          <w:szCs w:val="22"/>
          <w:lang w:val="en-IN" w:eastAsia="en-US"/>
        </w:rPr>
        <w:t xml:space="preserve"> it up to make it more attractive, thus playing a significant role [28]. A study on </w:t>
      </w:r>
      <w:r w:rsidR="00B24E3A">
        <w:rPr>
          <w:rFonts w:eastAsia="Times New Roman"/>
          <w:kern w:val="0"/>
          <w:sz w:val="22"/>
          <w:szCs w:val="22"/>
          <w:lang w:val="en-IN" w:eastAsia="en-US"/>
        </w:rPr>
        <w:t>emotional contagion using social media found that words were based on individuals' emotions as many individuals would like to put their point that is expected to</w:t>
      </w:r>
      <w:r w:rsidRPr="00520A27">
        <w:rPr>
          <w:rFonts w:eastAsia="Times New Roman"/>
          <w:kern w:val="0"/>
          <w:sz w:val="22"/>
          <w:szCs w:val="22"/>
          <w:highlight w:val="white"/>
          <w:lang w:val="en-IN" w:eastAsia="en-US"/>
        </w:rPr>
        <w:t xml:space="preserve"> </w:t>
      </w:r>
      <w:r w:rsidRPr="00520A27">
        <w:rPr>
          <w:rFonts w:eastAsia="Times New Roman"/>
          <w:kern w:val="0"/>
          <w:sz w:val="22"/>
          <w:szCs w:val="22"/>
          <w:highlight w:val="white"/>
          <w:lang w:val="en-IN" w:eastAsia="en-US"/>
        </w:rPr>
        <w:lastRenderedPageBreak/>
        <w:t>impact [29]</w:t>
      </w:r>
      <w:r w:rsidRPr="00520A27">
        <w:rPr>
          <w:rFonts w:eastAsia="Times New Roman"/>
          <w:kern w:val="0"/>
          <w:sz w:val="22"/>
          <w:szCs w:val="22"/>
          <w:lang w:val="en-IN" w:eastAsia="en-US"/>
        </w:rPr>
        <w:t>. Corporates to trigger emotions using linguistic style in words [30]. Hence we hypothesized,</w:t>
      </w:r>
    </w:p>
    <w:p w14:paraId="7D7CB201" w14:textId="6C5392CC" w:rsidR="00520A27" w:rsidRPr="00A57916" w:rsidRDefault="00520A27" w:rsidP="00505BE8">
      <w:pPr>
        <w:widowControl/>
        <w:spacing w:beforeLines="50" w:before="180" w:afterLines="50" w:after="180" w:line="276" w:lineRule="auto"/>
        <w:ind w:left="426"/>
        <w:jc w:val="both"/>
        <w:rPr>
          <w:rFonts w:eastAsia="Times New Roman"/>
          <w:kern w:val="0"/>
          <w:sz w:val="22"/>
          <w:szCs w:val="22"/>
          <w:lang w:val="en-IN" w:eastAsia="en-US"/>
        </w:rPr>
      </w:pPr>
      <w:r w:rsidRPr="00520A27">
        <w:rPr>
          <w:rFonts w:eastAsia="Times New Roman"/>
          <w:kern w:val="0"/>
          <w:sz w:val="22"/>
          <w:szCs w:val="22"/>
          <w:lang w:val="en-IN" w:eastAsia="en-US"/>
        </w:rPr>
        <w:t>H</w:t>
      </w:r>
      <w:r w:rsidRPr="00520A27">
        <w:rPr>
          <w:rFonts w:eastAsia="Times New Roman"/>
          <w:kern w:val="0"/>
          <w:sz w:val="22"/>
          <w:szCs w:val="22"/>
          <w:vertAlign w:val="subscript"/>
          <w:lang w:val="en-IN" w:eastAsia="en-US"/>
        </w:rPr>
        <w:t>1b</w:t>
      </w:r>
      <w:r w:rsidRPr="00520A27">
        <w:rPr>
          <w:rFonts w:eastAsia="Times New Roman"/>
          <w:kern w:val="0"/>
          <w:sz w:val="22"/>
          <w:szCs w:val="22"/>
          <w:lang w:val="en-IN" w:eastAsia="en-US"/>
        </w:rPr>
        <w:t>: There is a significant relationship between text content and emotional contagion.</w:t>
      </w:r>
    </w:p>
    <w:p w14:paraId="460D45F0" w14:textId="13B56CCC" w:rsidR="00520A27" w:rsidRPr="00520A27" w:rsidRDefault="00520A27" w:rsidP="00505BE8">
      <w:pPr>
        <w:widowControl/>
        <w:spacing w:line="276" w:lineRule="auto"/>
        <w:jc w:val="both"/>
        <w:rPr>
          <w:rFonts w:eastAsia="Times New Roman"/>
          <w:b/>
          <w:kern w:val="0"/>
          <w:sz w:val="22"/>
          <w:szCs w:val="22"/>
          <w:lang w:val="en-IN" w:eastAsia="en-US"/>
        </w:rPr>
      </w:pPr>
      <w:r w:rsidRPr="00520A27">
        <w:rPr>
          <w:rFonts w:eastAsia="Times New Roman"/>
          <w:b/>
          <w:kern w:val="0"/>
          <w:sz w:val="22"/>
          <w:szCs w:val="22"/>
          <w:lang w:val="en-IN" w:eastAsia="en-US"/>
        </w:rPr>
        <w:t>Emotional Contagion leading to Attitude:</w:t>
      </w:r>
    </w:p>
    <w:p w14:paraId="0640E973" w14:textId="2839D746" w:rsidR="00520A27" w:rsidRPr="00520A27" w:rsidRDefault="00520A27" w:rsidP="00505BE8">
      <w:pPr>
        <w:widowControl/>
        <w:spacing w:line="276" w:lineRule="auto"/>
        <w:ind w:firstLine="720"/>
        <w:jc w:val="both"/>
        <w:rPr>
          <w:rFonts w:eastAsia="Times New Roman"/>
          <w:kern w:val="0"/>
          <w:sz w:val="22"/>
          <w:szCs w:val="22"/>
          <w:lang w:val="en-IN" w:eastAsia="en-US"/>
        </w:rPr>
      </w:pPr>
      <w:r w:rsidRPr="00520A27">
        <w:rPr>
          <w:rFonts w:eastAsia="Times New Roman"/>
          <w:kern w:val="0"/>
          <w:sz w:val="22"/>
          <w:szCs w:val="22"/>
          <w:lang w:val="en-IN" w:eastAsia="en-US"/>
        </w:rPr>
        <w:t xml:space="preserve">Attitude is one of the value functions </w:t>
      </w:r>
      <w:r w:rsidR="00577CA9">
        <w:rPr>
          <w:rFonts w:eastAsia="Times New Roman"/>
          <w:kern w:val="0"/>
          <w:sz w:val="22"/>
          <w:szCs w:val="22"/>
          <w:lang w:val="en-IN" w:eastAsia="en-US"/>
        </w:rPr>
        <w:t>that motivates the potential buyer</w:t>
      </w:r>
      <w:r w:rsidRPr="00520A27">
        <w:rPr>
          <w:rFonts w:eastAsia="Times New Roman"/>
          <w:kern w:val="0"/>
          <w:sz w:val="22"/>
          <w:szCs w:val="22"/>
          <w:lang w:val="en-IN" w:eastAsia="en-US"/>
        </w:rPr>
        <w:t xml:space="preserve"> to the buying process [31]. The behavior intentions and beliefs are the major constituents of </w:t>
      </w:r>
      <w:r w:rsidR="00577CA9">
        <w:rPr>
          <w:rFonts w:eastAsia="Times New Roman"/>
          <w:kern w:val="0"/>
          <w:sz w:val="22"/>
          <w:szCs w:val="22"/>
          <w:lang w:val="en-IN" w:eastAsia="en-US"/>
        </w:rPr>
        <w:t>a consumer's attitude</w:t>
      </w:r>
      <w:r w:rsidRPr="00520A27">
        <w:rPr>
          <w:rFonts w:eastAsia="Times New Roman"/>
          <w:kern w:val="0"/>
          <w:sz w:val="22"/>
          <w:szCs w:val="22"/>
          <w:lang w:val="en-IN" w:eastAsia="en-US"/>
        </w:rPr>
        <w:t xml:space="preserve">. The social support theory clarifies how social relations in a community react when they receive data and how it impacts them to turn out to be. Many </w:t>
      </w:r>
      <w:r w:rsidR="00577CA9">
        <w:rPr>
          <w:rFonts w:eastAsia="Times New Roman"/>
          <w:kern w:val="0"/>
          <w:sz w:val="22"/>
          <w:szCs w:val="22"/>
          <w:lang w:val="en-IN" w:eastAsia="en-US"/>
        </w:rPr>
        <w:t>research studies</w:t>
      </w:r>
      <w:r w:rsidRPr="00520A27">
        <w:rPr>
          <w:rFonts w:eastAsia="Times New Roman"/>
          <w:kern w:val="0"/>
          <w:sz w:val="22"/>
          <w:szCs w:val="22"/>
          <w:lang w:val="en-IN" w:eastAsia="en-US"/>
        </w:rPr>
        <w:t xml:space="preserve"> have linked social support as the social value in an online community [32]. The customers' attitude is an attribute that contributes a lot to brand awareness and quick and impulsive buying.The Social support theory is used to back up the link between the customers' attitude and buying intention. Social support is considered an intangible source</w:t>
      </w:r>
      <w:r w:rsidR="00577CA9">
        <w:rPr>
          <w:rFonts w:eastAsia="Times New Roman"/>
          <w:kern w:val="0"/>
          <w:sz w:val="22"/>
          <w:szCs w:val="22"/>
          <w:lang w:val="en-IN" w:eastAsia="en-US"/>
        </w:rPr>
        <w:t>, but combining it with social media platforms adds strong value to it and, in turn, results in a change in consumers' attitude</w:t>
      </w:r>
      <w:r w:rsidRPr="00520A27">
        <w:rPr>
          <w:rFonts w:eastAsia="Times New Roman"/>
          <w:kern w:val="0"/>
          <w:sz w:val="22"/>
          <w:szCs w:val="22"/>
          <w:lang w:val="en-IN" w:eastAsia="en-US"/>
        </w:rPr>
        <w:t>.</w:t>
      </w:r>
    </w:p>
    <w:p w14:paraId="1119228C" w14:textId="5D3386BB" w:rsidR="00520A27" w:rsidRPr="00A57916" w:rsidRDefault="00520A27" w:rsidP="00505BE8">
      <w:pPr>
        <w:widowControl/>
        <w:spacing w:line="276" w:lineRule="auto"/>
        <w:jc w:val="both"/>
        <w:rPr>
          <w:rFonts w:eastAsia="Times New Roman"/>
          <w:kern w:val="0"/>
          <w:sz w:val="22"/>
          <w:szCs w:val="22"/>
          <w:lang w:val="en-IN" w:eastAsia="en-US"/>
        </w:rPr>
      </w:pPr>
      <w:r w:rsidRPr="00520A27">
        <w:rPr>
          <w:rFonts w:eastAsia="Times New Roman"/>
          <w:kern w:val="0"/>
          <w:sz w:val="22"/>
          <w:szCs w:val="22"/>
          <w:lang w:val="en-IN" w:eastAsia="en-US"/>
        </w:rPr>
        <w:t xml:space="preserve">Consumers are </w:t>
      </w:r>
      <w:r w:rsidR="00577CA9">
        <w:rPr>
          <w:rFonts w:eastAsia="Times New Roman"/>
          <w:kern w:val="0"/>
          <w:sz w:val="22"/>
          <w:szCs w:val="22"/>
          <w:lang w:val="en-IN" w:eastAsia="en-US"/>
        </w:rPr>
        <w:t>becoming more aware and active in</w:t>
      </w:r>
      <w:r w:rsidRPr="00520A27">
        <w:rPr>
          <w:rFonts w:eastAsia="Times New Roman"/>
          <w:kern w:val="0"/>
          <w:sz w:val="22"/>
          <w:szCs w:val="22"/>
          <w:lang w:val="en-IN" w:eastAsia="en-US"/>
        </w:rPr>
        <w:t xml:space="preserve"> attitude-based actions towards brands. Attitude is being disturbed by emotional contagion effects prompting actions.</w:t>
      </w:r>
      <w:r w:rsidRPr="00520A27">
        <w:rPr>
          <w:rFonts w:eastAsia="Times New Roman"/>
          <w:color w:val="FF0000"/>
          <w:kern w:val="0"/>
          <w:sz w:val="22"/>
          <w:szCs w:val="22"/>
          <w:lang w:val="en-IN" w:eastAsia="en-US"/>
        </w:rPr>
        <w:t xml:space="preserve"> </w:t>
      </w:r>
      <w:r w:rsidRPr="00520A27">
        <w:rPr>
          <w:rFonts w:eastAsia="Times New Roman"/>
          <w:kern w:val="0"/>
          <w:sz w:val="22"/>
          <w:szCs w:val="22"/>
          <w:lang w:val="en-IN" w:eastAsia="en-US"/>
        </w:rPr>
        <w:t>The purchase decision could be the effect of rational thinking or the attitude change facilitated by the information exchange through the social community [33]. The Tri-component model</w:t>
      </w:r>
      <w:r w:rsidR="00577CA9">
        <w:rPr>
          <w:rFonts w:eastAsia="Times New Roman"/>
          <w:kern w:val="0"/>
          <w:sz w:val="22"/>
          <w:szCs w:val="22"/>
          <w:lang w:val="en-IN" w:eastAsia="en-US"/>
        </w:rPr>
        <w:t xml:space="preserve"> and Social Support theory provide</w:t>
      </w:r>
      <w:r w:rsidRPr="00520A27">
        <w:rPr>
          <w:rFonts w:eastAsia="Times New Roman"/>
          <w:kern w:val="0"/>
          <w:sz w:val="22"/>
          <w:szCs w:val="22"/>
          <w:lang w:val="en-IN" w:eastAsia="en-US"/>
        </w:rPr>
        <w:t xml:space="preserve"> a better picture of linking attitude and customer buying intention. Strong customer engagement creates </w:t>
      </w:r>
      <w:r w:rsidR="00577CA9">
        <w:rPr>
          <w:rFonts w:eastAsia="Times New Roman"/>
          <w:kern w:val="0"/>
          <w:sz w:val="22"/>
          <w:szCs w:val="22"/>
          <w:lang w:val="en-IN" w:eastAsia="en-US"/>
        </w:rPr>
        <w:t xml:space="preserve">a </w:t>
      </w:r>
      <w:r w:rsidRPr="00520A27">
        <w:rPr>
          <w:rFonts w:eastAsia="Times New Roman"/>
          <w:kern w:val="0"/>
          <w:sz w:val="22"/>
          <w:szCs w:val="22"/>
          <w:lang w:val="en-IN" w:eastAsia="en-US"/>
        </w:rPr>
        <w:t xml:space="preserve">favorable </w:t>
      </w:r>
      <w:r w:rsidR="00577CA9">
        <w:rPr>
          <w:rFonts w:eastAsia="Times New Roman"/>
          <w:kern w:val="0"/>
          <w:sz w:val="22"/>
          <w:szCs w:val="22"/>
          <w:lang w:val="en-IN" w:eastAsia="en-US"/>
        </w:rPr>
        <w:t>perception of</w:t>
      </w:r>
      <w:r w:rsidRPr="00520A27">
        <w:rPr>
          <w:rFonts w:eastAsia="Times New Roman"/>
          <w:kern w:val="0"/>
          <w:sz w:val="22"/>
          <w:szCs w:val="22"/>
          <w:lang w:val="en-IN" w:eastAsia="en-US"/>
        </w:rPr>
        <w:t xml:space="preserve"> the product and brand [34]. This finding was supported </w:t>
      </w:r>
      <w:r w:rsidR="00577CA9">
        <w:rPr>
          <w:rFonts w:eastAsia="Times New Roman"/>
          <w:kern w:val="0"/>
          <w:sz w:val="22"/>
          <w:szCs w:val="22"/>
          <w:lang w:val="en-IN" w:eastAsia="en-US"/>
        </w:rPr>
        <w:t xml:space="preserve">by </w:t>
      </w:r>
      <w:r w:rsidRPr="00520A27">
        <w:rPr>
          <w:rFonts w:eastAsia="Times New Roman"/>
          <w:kern w:val="0"/>
          <w:sz w:val="22"/>
          <w:szCs w:val="22"/>
          <w:lang w:val="en-IN" w:eastAsia="en-US"/>
        </w:rPr>
        <w:t xml:space="preserve">previous studies also [35]. Customer attitude is a vital factor </w:t>
      </w:r>
      <w:r w:rsidR="00577CA9">
        <w:rPr>
          <w:rFonts w:eastAsia="Times New Roman"/>
          <w:kern w:val="0"/>
          <w:sz w:val="22"/>
          <w:szCs w:val="22"/>
          <w:lang w:val="en-IN" w:eastAsia="en-US"/>
        </w:rPr>
        <w:t>in understanding</w:t>
      </w:r>
      <w:r w:rsidRPr="00520A27">
        <w:rPr>
          <w:rFonts w:eastAsia="Times New Roman"/>
          <w:kern w:val="0"/>
          <w:sz w:val="22"/>
          <w:szCs w:val="22"/>
          <w:lang w:val="en-IN" w:eastAsia="en-US"/>
        </w:rPr>
        <w:t xml:space="preserve"> market behaviour [36]. Emotion development was consistently related to </w:t>
      </w:r>
      <w:r w:rsidR="00577CA9">
        <w:rPr>
          <w:rFonts w:eastAsia="Times New Roman"/>
          <w:kern w:val="0"/>
          <w:sz w:val="22"/>
          <w:szCs w:val="22"/>
          <w:lang w:val="en-IN" w:eastAsia="en-US"/>
        </w:rPr>
        <w:t xml:space="preserve">the </w:t>
      </w:r>
      <w:r w:rsidRPr="00520A27">
        <w:rPr>
          <w:rFonts w:eastAsia="Times New Roman"/>
          <w:kern w:val="0"/>
          <w:sz w:val="22"/>
          <w:szCs w:val="22"/>
          <w:lang w:val="en-IN" w:eastAsia="en-US"/>
        </w:rPr>
        <w:t xml:space="preserve">attitude in the previous literature [37]. Previous studies linked emotional contagion to </w:t>
      </w:r>
      <w:r w:rsidR="00577CA9">
        <w:rPr>
          <w:rFonts w:eastAsia="Times New Roman"/>
          <w:kern w:val="0"/>
          <w:sz w:val="22"/>
          <w:szCs w:val="22"/>
          <w:lang w:val="en-IN" w:eastAsia="en-US"/>
        </w:rPr>
        <w:t xml:space="preserve">the </w:t>
      </w:r>
      <w:r w:rsidRPr="00520A27">
        <w:rPr>
          <w:rFonts w:eastAsia="Times New Roman"/>
          <w:kern w:val="0"/>
          <w:sz w:val="22"/>
          <w:szCs w:val="22"/>
          <w:lang w:val="en-IN" w:eastAsia="en-US"/>
        </w:rPr>
        <w:t>attitude in a</w:t>
      </w:r>
      <w:r w:rsidR="00577CA9">
        <w:rPr>
          <w:rFonts w:eastAsia="Times New Roman"/>
          <w:kern w:val="0"/>
          <w:sz w:val="22"/>
          <w:szCs w:val="22"/>
          <w:lang w:val="en-IN" w:eastAsia="en-US"/>
        </w:rPr>
        <w:t>n employee-based surve</w:t>
      </w:r>
      <w:r w:rsidRPr="00520A27">
        <w:rPr>
          <w:rFonts w:eastAsia="Times New Roman"/>
          <w:kern w:val="0"/>
          <w:sz w:val="22"/>
          <w:szCs w:val="22"/>
          <w:lang w:val="en-IN" w:eastAsia="en-US"/>
        </w:rPr>
        <w:t>y [38]. Hallinan &amp; Brubaker</w:t>
      </w:r>
      <w:r w:rsidR="00577CA9">
        <w:rPr>
          <w:rFonts w:eastAsia="Times New Roman"/>
          <w:kern w:val="0"/>
          <w:sz w:val="22"/>
          <w:szCs w:val="22"/>
          <w:lang w:val="en-IN" w:eastAsia="en-US"/>
        </w:rPr>
        <w:t>,</w:t>
      </w:r>
      <w:r w:rsidRPr="00520A27">
        <w:rPr>
          <w:rFonts w:eastAsia="Times New Roman"/>
          <w:kern w:val="0"/>
          <w:sz w:val="22"/>
          <w:szCs w:val="22"/>
          <w:lang w:val="en-IN" w:eastAsia="en-US"/>
        </w:rPr>
        <w:t xml:space="preserve"> in their </w:t>
      </w:r>
      <w:r w:rsidR="00577CA9">
        <w:rPr>
          <w:rFonts w:eastAsia="Times New Roman"/>
          <w:kern w:val="0"/>
          <w:sz w:val="22"/>
          <w:szCs w:val="22"/>
          <w:lang w:val="en-IN" w:eastAsia="en-US"/>
        </w:rPr>
        <w:t>research,</w:t>
      </w:r>
      <w:r w:rsidRPr="00520A27">
        <w:rPr>
          <w:rFonts w:eastAsia="Times New Roman"/>
          <w:kern w:val="0"/>
          <w:sz w:val="22"/>
          <w:szCs w:val="22"/>
          <w:lang w:val="en-IN" w:eastAsia="en-US"/>
        </w:rPr>
        <w:t xml:space="preserve"> ha</w:t>
      </w:r>
      <w:r w:rsidR="00577CA9">
        <w:rPr>
          <w:rFonts w:eastAsia="Times New Roman"/>
          <w:kern w:val="0"/>
          <w:sz w:val="22"/>
          <w:szCs w:val="22"/>
          <w:lang w:val="en-IN" w:eastAsia="en-US"/>
        </w:rPr>
        <w:t>ve</w:t>
      </w:r>
      <w:r w:rsidRPr="00520A27">
        <w:rPr>
          <w:rFonts w:eastAsia="Times New Roman"/>
          <w:kern w:val="0"/>
          <w:sz w:val="22"/>
          <w:szCs w:val="22"/>
          <w:lang w:val="en-IN" w:eastAsia="en-US"/>
        </w:rPr>
        <w:t xml:space="preserve"> linked emotional disturbances in Facebook users resulting in attitude development [39]. Hence, we hypothesized</w:t>
      </w:r>
    </w:p>
    <w:p w14:paraId="382AB185" w14:textId="1CC4A00F" w:rsidR="00520A27" w:rsidRPr="00A57916" w:rsidRDefault="00520A27" w:rsidP="00505BE8">
      <w:pPr>
        <w:widowControl/>
        <w:spacing w:beforeLines="50" w:before="180" w:afterLines="50" w:after="180" w:line="276" w:lineRule="auto"/>
        <w:ind w:left="720"/>
        <w:jc w:val="both"/>
        <w:rPr>
          <w:rFonts w:eastAsia="Times New Roman"/>
          <w:kern w:val="0"/>
          <w:lang w:val="en-IN" w:eastAsia="en-US"/>
        </w:rPr>
      </w:pPr>
      <w:r w:rsidRPr="00520A27">
        <w:rPr>
          <w:rFonts w:eastAsia="Times New Roman"/>
          <w:color w:val="000000"/>
          <w:kern w:val="0"/>
          <w:lang w:val="en-IN" w:eastAsia="en-US"/>
        </w:rPr>
        <w:t>H</w:t>
      </w:r>
      <w:r w:rsidRPr="00520A27">
        <w:rPr>
          <w:rFonts w:eastAsia="Times New Roman"/>
          <w:color w:val="000000"/>
          <w:kern w:val="0"/>
          <w:sz w:val="14"/>
          <w:szCs w:val="14"/>
          <w:vertAlign w:val="subscript"/>
          <w:lang w:val="en-IN" w:eastAsia="en-US"/>
        </w:rPr>
        <w:t>2</w:t>
      </w:r>
      <w:r w:rsidRPr="00520A27">
        <w:rPr>
          <w:rFonts w:eastAsia="Times New Roman"/>
          <w:color w:val="000000"/>
          <w:kern w:val="0"/>
          <w:lang w:val="en-IN" w:eastAsia="en-US"/>
        </w:rPr>
        <w:t>: There is a significant relationship between emotional contagion and customer attitude.</w:t>
      </w:r>
    </w:p>
    <w:p w14:paraId="0116EE9F" w14:textId="50698B84" w:rsidR="00520A27" w:rsidRPr="00520A27" w:rsidRDefault="00520A27" w:rsidP="00505BE8">
      <w:pPr>
        <w:widowControl/>
        <w:spacing w:line="276" w:lineRule="auto"/>
        <w:jc w:val="both"/>
        <w:rPr>
          <w:rFonts w:eastAsia="Times New Roman"/>
          <w:b/>
          <w:color w:val="000000"/>
          <w:kern w:val="0"/>
          <w:lang w:val="en-IN" w:eastAsia="en-US"/>
        </w:rPr>
      </w:pPr>
      <w:r w:rsidRPr="00520A27">
        <w:rPr>
          <w:rFonts w:eastAsia="Times New Roman"/>
          <w:b/>
          <w:kern w:val="0"/>
          <w:lang w:val="en-IN" w:eastAsia="en-US"/>
        </w:rPr>
        <w:t xml:space="preserve">Emotional contagion and </w:t>
      </w:r>
      <w:r w:rsidRPr="00520A27">
        <w:rPr>
          <w:rFonts w:eastAsia="Times New Roman"/>
          <w:b/>
          <w:color w:val="000000"/>
          <w:kern w:val="0"/>
          <w:lang w:val="en-IN" w:eastAsia="en-US"/>
        </w:rPr>
        <w:t>Trust:</w:t>
      </w:r>
    </w:p>
    <w:p w14:paraId="67CCF717" w14:textId="61AD313A" w:rsidR="00520A27" w:rsidRPr="00520A27" w:rsidRDefault="00520A27" w:rsidP="00505BE8">
      <w:pPr>
        <w:widowControl/>
        <w:spacing w:line="276" w:lineRule="auto"/>
        <w:ind w:firstLine="476"/>
        <w:jc w:val="both"/>
        <w:rPr>
          <w:rFonts w:eastAsia="Times New Roman"/>
          <w:kern w:val="0"/>
          <w:sz w:val="22"/>
          <w:szCs w:val="22"/>
          <w:lang w:val="en-IN" w:eastAsia="en-US"/>
        </w:rPr>
      </w:pPr>
      <w:r w:rsidRPr="00520A27">
        <w:rPr>
          <w:rFonts w:eastAsia="Times New Roman"/>
          <w:kern w:val="0"/>
          <w:sz w:val="22"/>
          <w:szCs w:val="22"/>
          <w:lang w:val="en-IN" w:eastAsia="en-US"/>
        </w:rPr>
        <w:t xml:space="preserve">Emotional connection with a brand of an individual leads to </w:t>
      </w:r>
      <w:r w:rsidR="00577CA9">
        <w:rPr>
          <w:rFonts w:eastAsia="Times New Roman"/>
          <w:kern w:val="0"/>
          <w:sz w:val="22"/>
          <w:szCs w:val="22"/>
          <w:lang w:val="en-IN" w:eastAsia="en-US"/>
        </w:rPr>
        <w:t xml:space="preserve">the </w:t>
      </w:r>
      <w:r w:rsidRPr="00520A27">
        <w:rPr>
          <w:rFonts w:eastAsia="Times New Roman"/>
          <w:kern w:val="0"/>
          <w:sz w:val="22"/>
          <w:szCs w:val="22"/>
          <w:lang w:val="en-IN" w:eastAsia="en-US"/>
        </w:rPr>
        <w:t xml:space="preserve">development of trust [40], et al. (2012). Trust is </w:t>
      </w:r>
      <w:r w:rsidR="00577CA9">
        <w:rPr>
          <w:rFonts w:eastAsia="Times New Roman"/>
          <w:kern w:val="0"/>
          <w:sz w:val="22"/>
          <w:szCs w:val="22"/>
          <w:lang w:val="en-IN" w:eastAsia="en-US"/>
        </w:rPr>
        <w:t>essential</w:t>
      </w:r>
      <w:r w:rsidRPr="00520A27">
        <w:rPr>
          <w:rFonts w:eastAsia="Times New Roman"/>
          <w:kern w:val="0"/>
          <w:sz w:val="22"/>
          <w:szCs w:val="22"/>
          <w:lang w:val="en-IN" w:eastAsia="en-US"/>
        </w:rPr>
        <w:t xml:space="preserve"> for a brand to be known as credible. Emotional contagion at higher levels in familiar groups compared to non-familiar groups [41-42]. Du et al</w:t>
      </w:r>
      <w:r w:rsidR="00577CA9">
        <w:rPr>
          <w:rFonts w:eastAsia="Times New Roman"/>
          <w:kern w:val="0"/>
          <w:sz w:val="22"/>
          <w:szCs w:val="22"/>
          <w:lang w:val="en-IN" w:eastAsia="en-US"/>
        </w:rPr>
        <w:t>.</w:t>
      </w:r>
      <w:r w:rsidRPr="00520A27">
        <w:rPr>
          <w:rFonts w:eastAsia="Times New Roman"/>
          <w:kern w:val="0"/>
          <w:sz w:val="22"/>
          <w:szCs w:val="22"/>
          <w:lang w:val="en-IN" w:eastAsia="en-US"/>
        </w:rPr>
        <w:t xml:space="preserve"> (2014). Emotional disturbances were evident in familiar groups due to identical behaviours and </w:t>
      </w:r>
      <w:r w:rsidRPr="00520A27">
        <w:rPr>
          <w:rFonts w:eastAsia="Times New Roman"/>
          <w:kern w:val="0"/>
          <w:sz w:val="22"/>
          <w:szCs w:val="22"/>
          <w:lang w:val="en-IN" w:eastAsia="en-US"/>
        </w:rPr>
        <w:lastRenderedPageBreak/>
        <w:t xml:space="preserve">opinions. This emotional bonding was bridged by trust. This association is also supported by previous studies [43]. </w:t>
      </w:r>
    </w:p>
    <w:p w14:paraId="2481C948" w14:textId="3E3D170C" w:rsidR="00520A27" w:rsidRPr="00520A27" w:rsidRDefault="00520A27" w:rsidP="00505BE8">
      <w:pPr>
        <w:widowControl/>
        <w:spacing w:beforeLines="50" w:before="180" w:line="276" w:lineRule="auto"/>
        <w:ind w:firstLine="720"/>
        <w:jc w:val="both"/>
        <w:rPr>
          <w:rFonts w:eastAsia="Times New Roman"/>
          <w:kern w:val="0"/>
          <w:sz w:val="22"/>
          <w:szCs w:val="22"/>
          <w:lang w:val="en-IN" w:eastAsia="en-US"/>
        </w:rPr>
      </w:pPr>
      <w:r w:rsidRPr="00520A27">
        <w:rPr>
          <w:rFonts w:eastAsia="Times New Roman"/>
          <w:color w:val="000000"/>
          <w:kern w:val="0"/>
          <w:sz w:val="22"/>
          <w:szCs w:val="22"/>
          <w:lang w:val="en-IN" w:eastAsia="en-US"/>
        </w:rPr>
        <w:t>Trust plays a v</w:t>
      </w:r>
      <w:r w:rsidR="00577CA9">
        <w:rPr>
          <w:rFonts w:eastAsia="Times New Roman"/>
          <w:color w:val="000000"/>
          <w:kern w:val="0"/>
          <w:sz w:val="22"/>
          <w:szCs w:val="22"/>
          <w:lang w:val="en-IN" w:eastAsia="en-US"/>
        </w:rPr>
        <w:t>ital</w:t>
      </w:r>
      <w:r w:rsidRPr="00520A27">
        <w:rPr>
          <w:rFonts w:eastAsia="Times New Roman"/>
          <w:color w:val="000000"/>
          <w:kern w:val="0"/>
          <w:sz w:val="22"/>
          <w:szCs w:val="22"/>
          <w:lang w:val="en-IN" w:eastAsia="en-US"/>
        </w:rPr>
        <w:t xml:space="preserve"> role in stimulating online purchases by customers. Customers can get necessary information through ratings, reviews</w:t>
      </w:r>
      <w:r w:rsidR="00577CA9">
        <w:rPr>
          <w:rFonts w:eastAsia="Times New Roman"/>
          <w:color w:val="000000"/>
          <w:kern w:val="0"/>
          <w:sz w:val="22"/>
          <w:szCs w:val="22"/>
          <w:lang w:val="en-IN" w:eastAsia="en-US"/>
        </w:rPr>
        <w:t>,</w:t>
      </w:r>
      <w:r w:rsidRPr="00520A27">
        <w:rPr>
          <w:rFonts w:eastAsia="Times New Roman"/>
          <w:color w:val="000000"/>
          <w:kern w:val="0"/>
          <w:sz w:val="22"/>
          <w:szCs w:val="22"/>
          <w:lang w:val="en-IN" w:eastAsia="en-US"/>
        </w:rPr>
        <w:t xml:space="preserve"> and feedback that in turn builds trust [44]. Trust is one of the key attributes which will lead to purchase. The effect of trust on purchase intention has been proven using studies, which is reflected in the social commerce websites as most of the social commerce transactions are made through online transactions. Trust reduces the uncertainty among the customer on how the whole purchase process will be and initiates more social commerce transactions [45]. Trust is one of the significant factors to establish successful long-term relationships. Customers share content and seek information on social media because </w:t>
      </w:r>
      <w:r w:rsidR="00577CA9">
        <w:rPr>
          <w:rFonts w:eastAsia="Times New Roman"/>
          <w:color w:val="000000"/>
          <w:kern w:val="0"/>
          <w:sz w:val="22"/>
          <w:szCs w:val="22"/>
          <w:lang w:val="en-IN" w:eastAsia="en-US"/>
        </w:rPr>
        <w:t>they trust</w:t>
      </w:r>
      <w:r w:rsidRPr="00520A27">
        <w:rPr>
          <w:rFonts w:eastAsia="Times New Roman"/>
          <w:color w:val="000000"/>
          <w:kern w:val="0"/>
          <w:sz w:val="22"/>
          <w:szCs w:val="22"/>
          <w:lang w:val="en-IN" w:eastAsia="en-US"/>
        </w:rPr>
        <w:t xml:space="preserve"> social media platforms. Customers will be more engaged </w:t>
      </w:r>
      <w:r w:rsidR="00577CA9">
        <w:rPr>
          <w:rFonts w:eastAsia="Times New Roman"/>
          <w:color w:val="000000"/>
          <w:kern w:val="0"/>
          <w:sz w:val="22"/>
          <w:szCs w:val="22"/>
          <w:lang w:val="en-IN" w:eastAsia="en-US"/>
        </w:rPr>
        <w:t>i</w:t>
      </w:r>
      <w:r w:rsidRPr="00520A27">
        <w:rPr>
          <w:rFonts w:eastAsia="Times New Roman"/>
          <w:color w:val="000000"/>
          <w:kern w:val="0"/>
          <w:sz w:val="22"/>
          <w:szCs w:val="22"/>
          <w:lang w:val="en-IN" w:eastAsia="en-US"/>
        </w:rPr>
        <w:t xml:space="preserve">n media </w:t>
      </w:r>
      <w:r w:rsidR="00577CA9">
        <w:rPr>
          <w:rFonts w:eastAsia="Times New Roman"/>
          <w:color w:val="000000"/>
          <w:kern w:val="0"/>
          <w:sz w:val="22"/>
          <w:szCs w:val="22"/>
          <w:lang w:val="en-IN" w:eastAsia="en-US"/>
        </w:rPr>
        <w:t>to</w:t>
      </w:r>
      <w:r w:rsidRPr="00520A27">
        <w:rPr>
          <w:rFonts w:eastAsia="Times New Roman"/>
          <w:color w:val="000000"/>
          <w:kern w:val="0"/>
          <w:sz w:val="22"/>
          <w:szCs w:val="22"/>
          <w:lang w:val="en-IN" w:eastAsia="en-US"/>
        </w:rPr>
        <w:t xml:space="preserve"> find satisfaction [46]. The trust factor can be linked to the relationship marketing theory, which explains the importance of reinforcing the relationship bet</w:t>
      </w:r>
      <w:r w:rsidRPr="00520A27">
        <w:rPr>
          <w:rFonts w:eastAsia="Times New Roman"/>
          <w:kern w:val="0"/>
          <w:sz w:val="22"/>
          <w:szCs w:val="22"/>
          <w:lang w:val="en-IN" w:eastAsia="en-US"/>
        </w:rPr>
        <w:t xml:space="preserve">ween the seller and buyer [47]. Previous studies </w:t>
      </w:r>
      <w:r w:rsidR="00577CA9">
        <w:rPr>
          <w:rFonts w:eastAsia="Times New Roman"/>
          <w:kern w:val="0"/>
          <w:sz w:val="22"/>
          <w:szCs w:val="22"/>
          <w:lang w:val="en-IN" w:eastAsia="en-US"/>
        </w:rPr>
        <w:t>linked product recommendation performance with trust development,</w:t>
      </w:r>
      <w:r w:rsidRPr="00520A27">
        <w:rPr>
          <w:rFonts w:eastAsia="Times New Roman"/>
          <w:kern w:val="0"/>
          <w:sz w:val="22"/>
          <w:szCs w:val="22"/>
          <w:lang w:val="en-IN" w:eastAsia="en-US"/>
        </w:rPr>
        <w:t xml:space="preserve"> leading to positive emotions [48 - 49]</w:t>
      </w:r>
      <w:r w:rsidR="00577CA9">
        <w:rPr>
          <w:rFonts w:eastAsia="Times New Roman"/>
          <w:kern w:val="0"/>
          <w:sz w:val="22"/>
          <w:szCs w:val="22"/>
          <w:lang w:val="en-IN" w:eastAsia="en-US"/>
        </w:rPr>
        <w:t>.</w:t>
      </w:r>
      <w:r w:rsidRPr="00520A27">
        <w:rPr>
          <w:rFonts w:eastAsia="Times New Roman"/>
          <w:kern w:val="0"/>
          <w:sz w:val="22"/>
          <w:szCs w:val="22"/>
          <w:lang w:val="en-IN" w:eastAsia="en-US"/>
        </w:rPr>
        <w:t xml:space="preserve"> Therefore, we hypothesized.</w:t>
      </w:r>
    </w:p>
    <w:p w14:paraId="1F42E597" w14:textId="48A9F8A8" w:rsidR="00520A27" w:rsidRPr="00A57916" w:rsidRDefault="00520A27" w:rsidP="00505BE8">
      <w:pPr>
        <w:widowControl/>
        <w:spacing w:beforeLines="50" w:before="180" w:afterLines="50" w:after="180" w:line="276" w:lineRule="auto"/>
        <w:ind w:left="720"/>
        <w:jc w:val="both"/>
        <w:rPr>
          <w:rFonts w:eastAsia="Times New Roman"/>
          <w:kern w:val="0"/>
          <w:sz w:val="22"/>
          <w:szCs w:val="22"/>
          <w:lang w:val="en-IN" w:eastAsia="en-US"/>
        </w:rPr>
      </w:pPr>
      <w:r w:rsidRPr="00520A27">
        <w:rPr>
          <w:rFonts w:eastAsia="Times New Roman"/>
          <w:color w:val="000000"/>
          <w:kern w:val="0"/>
          <w:sz w:val="22"/>
          <w:szCs w:val="22"/>
          <w:lang w:val="en-IN" w:eastAsia="en-US"/>
        </w:rPr>
        <w:t>H</w:t>
      </w:r>
      <w:r w:rsidRPr="00520A27">
        <w:rPr>
          <w:rFonts w:eastAsia="Times New Roman"/>
          <w:color w:val="000000"/>
          <w:kern w:val="0"/>
          <w:sz w:val="22"/>
          <w:szCs w:val="22"/>
          <w:vertAlign w:val="subscript"/>
          <w:lang w:val="en-IN" w:eastAsia="en-US"/>
        </w:rPr>
        <w:t>3</w:t>
      </w:r>
      <w:r w:rsidRPr="00520A27">
        <w:rPr>
          <w:rFonts w:eastAsia="Times New Roman"/>
          <w:color w:val="000000"/>
          <w:kern w:val="0"/>
          <w:sz w:val="22"/>
          <w:szCs w:val="22"/>
          <w:lang w:val="en-IN" w:eastAsia="en-US"/>
        </w:rPr>
        <w:t>: There is a significant relationship between emotional contagion and customer trust.</w:t>
      </w:r>
    </w:p>
    <w:p w14:paraId="646E930B" w14:textId="77777777" w:rsidR="00520A27" w:rsidRPr="00520A27" w:rsidRDefault="00520A27" w:rsidP="00505BE8">
      <w:pPr>
        <w:widowControl/>
        <w:spacing w:line="276" w:lineRule="auto"/>
        <w:jc w:val="both"/>
        <w:rPr>
          <w:rFonts w:eastAsia="Times New Roman"/>
          <w:b/>
          <w:color w:val="000000"/>
          <w:kern w:val="0"/>
          <w:sz w:val="22"/>
          <w:szCs w:val="22"/>
          <w:lang w:val="en-IN" w:eastAsia="en-US"/>
        </w:rPr>
      </w:pPr>
      <w:r w:rsidRPr="00520A27">
        <w:rPr>
          <w:rFonts w:eastAsia="Times New Roman"/>
          <w:b/>
          <w:kern w:val="0"/>
          <w:sz w:val="22"/>
          <w:szCs w:val="22"/>
          <w:lang w:val="en-IN" w:eastAsia="en-US"/>
        </w:rPr>
        <w:t xml:space="preserve">Emotional contagion leading to </w:t>
      </w:r>
      <w:r w:rsidRPr="00520A27">
        <w:rPr>
          <w:rFonts w:eastAsia="Times New Roman"/>
          <w:b/>
          <w:color w:val="000000"/>
          <w:kern w:val="0"/>
          <w:sz w:val="22"/>
          <w:szCs w:val="22"/>
          <w:lang w:val="en-IN" w:eastAsia="en-US"/>
        </w:rPr>
        <w:t>Brand Engagement:</w:t>
      </w:r>
    </w:p>
    <w:p w14:paraId="611C935E" w14:textId="75BD3EE0" w:rsidR="00520A27" w:rsidRPr="00A57916" w:rsidRDefault="00520A27" w:rsidP="00505BE8">
      <w:pPr>
        <w:widowControl/>
        <w:spacing w:afterLines="50" w:after="180" w:line="276" w:lineRule="auto"/>
        <w:ind w:firstLine="720"/>
        <w:jc w:val="both"/>
        <w:rPr>
          <w:rFonts w:eastAsia="Times New Roman"/>
          <w:kern w:val="0"/>
          <w:sz w:val="22"/>
          <w:szCs w:val="22"/>
          <w:lang w:val="en-IN" w:eastAsia="en-US"/>
        </w:rPr>
      </w:pPr>
      <w:r w:rsidRPr="00520A27">
        <w:rPr>
          <w:rFonts w:eastAsia="Times New Roman"/>
          <w:color w:val="000000"/>
          <w:kern w:val="0"/>
          <w:sz w:val="22"/>
          <w:szCs w:val="22"/>
          <w:lang w:val="en-IN" w:eastAsia="en-US"/>
        </w:rPr>
        <w:t xml:space="preserve">Customer engagement in social commerce is a concept expected to provide power over consumer behavioural outcomes and brand loyalty. In general, customer engagement enhances the reaction between the consumer and the seller. Social media </w:t>
      </w:r>
      <w:r w:rsidR="00577CA9">
        <w:rPr>
          <w:rFonts w:eastAsia="Times New Roman"/>
          <w:color w:val="000000"/>
          <w:kern w:val="0"/>
          <w:sz w:val="22"/>
          <w:szCs w:val="22"/>
          <w:lang w:val="en-IN" w:eastAsia="en-US"/>
        </w:rPr>
        <w:t>offer</w:t>
      </w:r>
      <w:r w:rsidRPr="00520A27">
        <w:rPr>
          <w:rFonts w:eastAsia="Times New Roman"/>
          <w:color w:val="000000"/>
          <w:kern w:val="0"/>
          <w:sz w:val="22"/>
          <w:szCs w:val="22"/>
          <w:lang w:val="en-IN" w:eastAsia="en-US"/>
        </w:rPr>
        <w:t xml:space="preserve">s a sustainable and credible platform for doing so. Prior studies have indicated that customer involvement indicates the motivation level for the customer to remain loyal to the brand. Social media platforms like Instagram allow the customer to contact the seller directly. This enhances the involvement of customers with the brand resulting in loyalty. The </w:t>
      </w:r>
      <w:r w:rsidR="00B24E3A">
        <w:rPr>
          <w:rFonts w:eastAsia="Times New Roman"/>
          <w:color w:val="000000"/>
          <w:kern w:val="0"/>
          <w:sz w:val="22"/>
          <w:szCs w:val="22"/>
          <w:lang w:val="en-IN" w:eastAsia="en-US"/>
        </w:rPr>
        <w:t>seller's content and transparency</w:t>
      </w:r>
      <w:r w:rsidRPr="00520A27">
        <w:rPr>
          <w:rFonts w:eastAsia="Times New Roman"/>
          <w:color w:val="000000"/>
          <w:kern w:val="0"/>
          <w:sz w:val="22"/>
          <w:szCs w:val="22"/>
          <w:lang w:val="en-IN" w:eastAsia="en-US"/>
        </w:rPr>
        <w:t xml:space="preserve"> on their brand ensure more customer engagement. </w:t>
      </w:r>
      <w:r w:rsidR="00577CA9">
        <w:rPr>
          <w:rFonts w:eastAsia="Times New Roman"/>
          <w:color w:val="000000"/>
          <w:kern w:val="0"/>
          <w:sz w:val="22"/>
          <w:szCs w:val="22"/>
          <w:lang w:val="en-IN" w:eastAsia="en-US"/>
        </w:rPr>
        <w:t>The social media presence of customers can be a potential area that brands can explore</w:t>
      </w:r>
      <w:r w:rsidRPr="00520A27">
        <w:rPr>
          <w:rFonts w:eastAsia="Times New Roman"/>
          <w:color w:val="000000"/>
          <w:kern w:val="0"/>
          <w:sz w:val="22"/>
          <w:szCs w:val="22"/>
          <w:lang w:val="en-IN" w:eastAsia="en-US"/>
        </w:rPr>
        <w:t xml:space="preserve"> to make </w:t>
      </w:r>
      <w:r w:rsidRPr="00520A27">
        <w:rPr>
          <w:rFonts w:eastAsia="Times New Roman"/>
          <w:kern w:val="0"/>
          <w:sz w:val="22"/>
          <w:szCs w:val="22"/>
          <w:lang w:val="en-IN" w:eastAsia="en-US"/>
        </w:rPr>
        <w:t>customers</w:t>
      </w:r>
      <w:r w:rsidRPr="00520A27">
        <w:rPr>
          <w:rFonts w:eastAsia="Times New Roman"/>
          <w:color w:val="000000"/>
          <w:kern w:val="0"/>
          <w:sz w:val="22"/>
          <w:szCs w:val="22"/>
          <w:lang w:val="en-IN" w:eastAsia="en-US"/>
        </w:rPr>
        <w:t xml:space="preserve"> engage with the brand. Brands can target a specific group of customers who can share the brand advocacy through social media.</w:t>
      </w:r>
      <w:r w:rsidRPr="00520A27">
        <w:rPr>
          <w:rFonts w:eastAsia="Times New Roman"/>
          <w:kern w:val="0"/>
          <w:sz w:val="22"/>
          <w:szCs w:val="22"/>
          <w:lang w:val="en-IN" w:eastAsia="en-US"/>
        </w:rPr>
        <w:t xml:space="preserve"> Studies also observed change</w:t>
      </w:r>
      <w:r w:rsidR="00577CA9">
        <w:rPr>
          <w:rFonts w:eastAsia="Times New Roman"/>
          <w:kern w:val="0"/>
          <w:sz w:val="22"/>
          <w:szCs w:val="22"/>
          <w:lang w:val="en-IN" w:eastAsia="en-US"/>
        </w:rPr>
        <w:t>s</w:t>
      </w:r>
      <w:r w:rsidRPr="00520A27">
        <w:rPr>
          <w:rFonts w:eastAsia="Times New Roman"/>
          <w:kern w:val="0"/>
          <w:sz w:val="22"/>
          <w:szCs w:val="22"/>
          <w:lang w:val="en-IN" w:eastAsia="en-US"/>
        </w:rPr>
        <w:t xml:space="preserve"> in emotions in social media users due to brand engagement-based campaigns [50]. </w:t>
      </w:r>
      <w:r w:rsidRPr="00F1768D">
        <w:rPr>
          <w:rFonts w:eastAsia="Times New Roman"/>
          <w:kern w:val="0"/>
          <w:sz w:val="22"/>
          <w:szCs w:val="22"/>
          <w:lang w:val="en-IN" w:eastAsia="en-US"/>
        </w:rPr>
        <w:t>In a</w:t>
      </w:r>
      <w:r w:rsidR="00F1768D">
        <w:rPr>
          <w:rFonts w:eastAsia="Times New Roman"/>
          <w:kern w:val="0"/>
          <w:sz w:val="22"/>
          <w:szCs w:val="22"/>
          <w:lang w:val="en-IN" w:eastAsia="en-US"/>
        </w:rPr>
        <w:t xml:space="preserve"> research</w:t>
      </w:r>
      <w:r w:rsidRPr="00F1768D">
        <w:rPr>
          <w:rFonts w:eastAsia="Times New Roman"/>
          <w:kern w:val="0"/>
          <w:sz w:val="22"/>
          <w:szCs w:val="22"/>
          <w:lang w:val="en-IN" w:eastAsia="en-US"/>
        </w:rPr>
        <w:t xml:space="preserve"> study</w:t>
      </w:r>
      <w:r w:rsidR="00577CA9" w:rsidRPr="00F1768D">
        <w:rPr>
          <w:rFonts w:eastAsia="Times New Roman"/>
          <w:kern w:val="0"/>
          <w:sz w:val="22"/>
          <w:szCs w:val="22"/>
          <w:lang w:val="en-IN" w:eastAsia="en-US"/>
        </w:rPr>
        <w:t>,</w:t>
      </w:r>
      <w:r w:rsidR="00F1768D">
        <w:rPr>
          <w:rFonts w:eastAsia="Times New Roman"/>
          <w:kern w:val="0"/>
          <w:sz w:val="22"/>
          <w:szCs w:val="22"/>
          <w:lang w:val="en-IN" w:eastAsia="en-US"/>
        </w:rPr>
        <w:t xml:space="preserve"> it was found that,</w:t>
      </w:r>
      <w:r w:rsidRPr="00F1768D">
        <w:rPr>
          <w:rFonts w:eastAsia="Times New Roman"/>
          <w:kern w:val="0"/>
          <w:sz w:val="22"/>
          <w:szCs w:val="22"/>
          <w:lang w:val="en-IN" w:eastAsia="en-US"/>
        </w:rPr>
        <w:t xml:space="preserve"> people started developing</w:t>
      </w:r>
      <w:r w:rsidR="00F1768D" w:rsidRPr="00F1768D">
        <w:rPr>
          <w:rFonts w:eastAsia="Times New Roman"/>
          <w:kern w:val="0"/>
          <w:sz w:val="22"/>
          <w:szCs w:val="22"/>
          <w:lang w:val="en-IN" w:eastAsia="en-US"/>
        </w:rPr>
        <w:t xml:space="preserve"> engagement </w:t>
      </w:r>
      <w:r w:rsidRPr="00F1768D">
        <w:rPr>
          <w:rFonts w:eastAsia="Times New Roman"/>
          <w:kern w:val="0"/>
          <w:sz w:val="22"/>
          <w:szCs w:val="22"/>
          <w:lang w:val="en-IN" w:eastAsia="en-US"/>
        </w:rPr>
        <w:t>towards the brands that were giving a competitive advantage for companies</w:t>
      </w:r>
      <w:r w:rsidRPr="00520A27">
        <w:rPr>
          <w:rFonts w:eastAsia="Times New Roman"/>
          <w:kern w:val="0"/>
          <w:sz w:val="22"/>
          <w:szCs w:val="22"/>
          <w:lang w:val="en-IN" w:eastAsia="en-US"/>
        </w:rPr>
        <w:t xml:space="preserve"> [51]. Not all social media behaviours of customers are meaningful. Marketers should devise social media strategies that may result in meaningful engagement and behaviours with the brand [52]. </w:t>
      </w:r>
      <w:r w:rsidRPr="00520A27">
        <w:rPr>
          <w:rFonts w:eastAsia="Times New Roman"/>
          <w:kern w:val="0"/>
          <w:sz w:val="22"/>
          <w:szCs w:val="22"/>
          <w:lang w:val="en-IN" w:eastAsia="en-US"/>
        </w:rPr>
        <w:lastRenderedPageBreak/>
        <w:t>Brand engagement as a marketing campaign concept is being used to create emotional attachment towards brands [53]. Previous literature also</w:t>
      </w:r>
      <w:r w:rsidRPr="00520A27">
        <w:rPr>
          <w:rFonts w:eastAsia="Times New Roman"/>
          <w:kern w:val="0"/>
          <w:sz w:val="22"/>
          <w:szCs w:val="22"/>
          <w:highlight w:val="white"/>
          <w:lang w:val="en-IN" w:eastAsia="en-US"/>
        </w:rPr>
        <w:t xml:space="preserve"> linked </w:t>
      </w:r>
      <w:r w:rsidR="00577CA9">
        <w:rPr>
          <w:rFonts w:eastAsia="Times New Roman"/>
          <w:kern w:val="0"/>
          <w:sz w:val="22"/>
          <w:szCs w:val="22"/>
          <w:highlight w:val="white"/>
          <w:lang w:val="en-IN" w:eastAsia="en-US"/>
        </w:rPr>
        <w:t>consumers' emotional response</w:t>
      </w:r>
      <w:r w:rsidRPr="00520A27">
        <w:rPr>
          <w:rFonts w:eastAsia="Times New Roman"/>
          <w:kern w:val="0"/>
          <w:sz w:val="22"/>
          <w:szCs w:val="22"/>
          <w:highlight w:val="white"/>
          <w:lang w:val="en-IN" w:eastAsia="en-US"/>
        </w:rPr>
        <w:t>s based on brand success or failures [54]. Linkages of emotions, attitude and trust with brand engagement were adequately traced in previous literature. Therefore, we hypothesized</w:t>
      </w:r>
    </w:p>
    <w:p w14:paraId="204E5C16" w14:textId="77777777" w:rsidR="00520A27" w:rsidRPr="00520A27" w:rsidRDefault="00520A27" w:rsidP="00505BE8">
      <w:pPr>
        <w:widowControl/>
        <w:spacing w:line="276" w:lineRule="auto"/>
        <w:ind w:left="720"/>
        <w:jc w:val="both"/>
        <w:rPr>
          <w:rFonts w:eastAsia="Times New Roman"/>
          <w:kern w:val="0"/>
          <w:sz w:val="22"/>
          <w:szCs w:val="22"/>
          <w:lang w:val="en-IN" w:eastAsia="en-US"/>
        </w:rPr>
      </w:pPr>
      <w:r w:rsidRPr="00520A27">
        <w:rPr>
          <w:rFonts w:eastAsia="Times New Roman"/>
          <w:color w:val="000000"/>
          <w:kern w:val="0"/>
          <w:sz w:val="22"/>
          <w:szCs w:val="22"/>
          <w:lang w:val="en-IN" w:eastAsia="en-US"/>
        </w:rPr>
        <w:t>H</w:t>
      </w:r>
      <w:r w:rsidRPr="00520A27">
        <w:rPr>
          <w:rFonts w:eastAsia="Times New Roman"/>
          <w:color w:val="000000"/>
          <w:kern w:val="0"/>
          <w:sz w:val="22"/>
          <w:szCs w:val="22"/>
          <w:vertAlign w:val="subscript"/>
          <w:lang w:val="en-IN" w:eastAsia="en-US"/>
        </w:rPr>
        <w:t>4</w:t>
      </w:r>
      <w:r w:rsidRPr="00520A27">
        <w:rPr>
          <w:rFonts w:eastAsia="Times New Roman"/>
          <w:color w:val="000000"/>
          <w:kern w:val="0"/>
          <w:sz w:val="22"/>
          <w:szCs w:val="22"/>
          <w:lang w:val="en-IN" w:eastAsia="en-US"/>
        </w:rPr>
        <w:t>: There is a significant relationship between emotional contagion and brand engagement.</w:t>
      </w:r>
    </w:p>
    <w:p w14:paraId="792F70C9" w14:textId="77777777" w:rsidR="00520A27" w:rsidRPr="00520A27" w:rsidRDefault="00520A27" w:rsidP="00505BE8">
      <w:pPr>
        <w:widowControl/>
        <w:spacing w:line="276" w:lineRule="auto"/>
        <w:ind w:left="720"/>
        <w:jc w:val="both"/>
        <w:rPr>
          <w:rFonts w:eastAsia="Times New Roman"/>
          <w:kern w:val="0"/>
          <w:sz w:val="22"/>
          <w:szCs w:val="22"/>
          <w:lang w:val="en-IN" w:eastAsia="en-US"/>
        </w:rPr>
      </w:pPr>
      <w:r w:rsidRPr="00520A27">
        <w:rPr>
          <w:rFonts w:eastAsia="Times New Roman"/>
          <w:color w:val="000000"/>
          <w:kern w:val="0"/>
          <w:sz w:val="22"/>
          <w:szCs w:val="22"/>
          <w:lang w:val="en-IN" w:eastAsia="en-US"/>
        </w:rPr>
        <w:t>H</w:t>
      </w:r>
      <w:r w:rsidRPr="00520A27">
        <w:rPr>
          <w:rFonts w:eastAsia="Times New Roman"/>
          <w:color w:val="000000"/>
          <w:kern w:val="0"/>
          <w:sz w:val="22"/>
          <w:szCs w:val="22"/>
          <w:vertAlign w:val="subscript"/>
          <w:lang w:val="en-IN" w:eastAsia="en-US"/>
        </w:rPr>
        <w:t>5</w:t>
      </w:r>
      <w:r w:rsidRPr="00520A27">
        <w:rPr>
          <w:rFonts w:eastAsia="Times New Roman"/>
          <w:color w:val="000000"/>
          <w:kern w:val="0"/>
          <w:sz w:val="22"/>
          <w:szCs w:val="22"/>
          <w:lang w:val="en-IN" w:eastAsia="en-US"/>
        </w:rPr>
        <w:t>: There is a significant relationship between customer attitude and brand engagement.</w:t>
      </w:r>
    </w:p>
    <w:p w14:paraId="48FF6F24" w14:textId="33E95D9D" w:rsidR="009150D3" w:rsidRDefault="00520A27" w:rsidP="00505BE8">
      <w:pPr>
        <w:widowControl/>
        <w:spacing w:line="276" w:lineRule="auto"/>
        <w:ind w:left="720"/>
        <w:jc w:val="both"/>
        <w:rPr>
          <w:rFonts w:eastAsia="Times New Roman"/>
          <w:color w:val="000000"/>
          <w:kern w:val="0"/>
          <w:sz w:val="22"/>
          <w:szCs w:val="22"/>
          <w:lang w:val="en-IN" w:eastAsia="en-US"/>
        </w:rPr>
      </w:pPr>
      <w:r w:rsidRPr="00520A27">
        <w:rPr>
          <w:rFonts w:eastAsia="Times New Roman"/>
          <w:color w:val="000000"/>
          <w:kern w:val="0"/>
          <w:sz w:val="22"/>
          <w:szCs w:val="22"/>
          <w:lang w:val="en-IN" w:eastAsia="en-US"/>
        </w:rPr>
        <w:t>H</w:t>
      </w:r>
      <w:r w:rsidRPr="00520A27">
        <w:rPr>
          <w:rFonts w:eastAsia="Times New Roman"/>
          <w:color w:val="000000"/>
          <w:kern w:val="0"/>
          <w:sz w:val="22"/>
          <w:szCs w:val="22"/>
          <w:vertAlign w:val="subscript"/>
          <w:lang w:val="en-IN" w:eastAsia="en-US"/>
        </w:rPr>
        <w:t>6</w:t>
      </w:r>
      <w:r w:rsidRPr="00520A27">
        <w:rPr>
          <w:rFonts w:eastAsia="Times New Roman"/>
          <w:color w:val="000000"/>
          <w:kern w:val="0"/>
          <w:sz w:val="22"/>
          <w:szCs w:val="22"/>
          <w:lang w:val="en-IN" w:eastAsia="en-US"/>
        </w:rPr>
        <w:t>: There is a significant relationship between customer trust and brand engagement.</w:t>
      </w:r>
    </w:p>
    <w:p w14:paraId="23B7D9A5" w14:textId="098F39E2" w:rsidR="009150D3" w:rsidRPr="00A57916" w:rsidRDefault="009150D3" w:rsidP="00505BE8">
      <w:pPr>
        <w:pStyle w:val="Web"/>
        <w:numPr>
          <w:ilvl w:val="0"/>
          <w:numId w:val="4"/>
        </w:numPr>
        <w:adjustRightInd w:val="0"/>
        <w:snapToGrid w:val="0"/>
        <w:spacing w:beforeLines="100" w:before="360" w:beforeAutospacing="0" w:afterLines="100" w:after="360" w:afterAutospacing="0" w:line="276" w:lineRule="auto"/>
        <w:jc w:val="center"/>
        <w:textAlignment w:val="top"/>
        <w:rPr>
          <w:rFonts w:ascii="Arial" w:eastAsia="新細明體" w:hAnsi="Arial" w:cs="Arial"/>
          <w:b/>
          <w:bCs/>
          <w:sz w:val="28"/>
          <w:szCs w:val="28"/>
        </w:rPr>
      </w:pPr>
      <w:r>
        <w:rPr>
          <w:rFonts w:ascii="Arial" w:eastAsia="新細明體" w:hAnsi="Arial" w:cs="Arial"/>
          <w:b/>
          <w:bCs/>
          <w:sz w:val="28"/>
          <w:szCs w:val="28"/>
        </w:rPr>
        <w:t>RESEARCH METHODOLOGY</w:t>
      </w:r>
    </w:p>
    <w:p w14:paraId="5F256149" w14:textId="77777777" w:rsidR="009150D3" w:rsidRPr="00A57916" w:rsidRDefault="009150D3" w:rsidP="00505BE8">
      <w:pPr>
        <w:spacing w:line="276" w:lineRule="auto"/>
        <w:jc w:val="both"/>
        <w:rPr>
          <w:rFonts w:ascii="Arial" w:eastAsia="Times New Roman" w:hAnsi="Arial" w:cs="Arial"/>
          <w:sz w:val="28"/>
          <w:szCs w:val="28"/>
        </w:rPr>
      </w:pPr>
      <w:r w:rsidRPr="00A57916">
        <w:rPr>
          <w:rFonts w:ascii="Arial" w:eastAsia="Times New Roman" w:hAnsi="Arial" w:cs="Arial"/>
          <w:b/>
          <w:color w:val="000000"/>
          <w:sz w:val="28"/>
          <w:szCs w:val="28"/>
        </w:rPr>
        <w:t>3.1 Instrument Development</w:t>
      </w:r>
    </w:p>
    <w:p w14:paraId="2A461CD7" w14:textId="431945EA" w:rsidR="009150D3" w:rsidRPr="00A57916" w:rsidRDefault="009150D3" w:rsidP="00505BE8">
      <w:pPr>
        <w:spacing w:line="276" w:lineRule="auto"/>
        <w:jc w:val="both"/>
        <w:rPr>
          <w:rFonts w:eastAsiaTheme="minorEastAsia"/>
        </w:rPr>
      </w:pPr>
      <w:r>
        <w:rPr>
          <w:rFonts w:eastAsia="Times New Roman"/>
          <w:color w:val="000000"/>
        </w:rPr>
        <w:t>This research study has seven constructs: audio content, text content, visual content, emotional contagion, attitude, trust, brand effectiveness. A structured questionnaire was used to measure the above constructs, and the items included under those constructs were measured by using a five-point Likert</w:t>
      </w:r>
      <w:r w:rsidR="00577CA9">
        <w:rPr>
          <w:rFonts w:eastAsia="Times New Roman"/>
          <w:color w:val="000000"/>
        </w:rPr>
        <w:t xml:space="preserve"> </w:t>
      </w:r>
      <w:r>
        <w:rPr>
          <w:rFonts w:eastAsia="Times New Roman"/>
          <w:color w:val="000000"/>
        </w:rPr>
        <w:t xml:space="preserve">scale. The questionnaire was developed from the modified scale used for measuring social commerce constructs [55]. </w:t>
      </w:r>
      <w:r w:rsidR="00577CA9">
        <w:rPr>
          <w:rFonts w:eastAsia="Times New Roman"/>
          <w:color w:val="000000"/>
        </w:rPr>
        <w:t>The revised scales designed to measure the above constructs for emotional contagion, attitude, trust, and engagement were adopted from emotional contagion, attitude, trust, and engagement</w:t>
      </w:r>
      <w:r>
        <w:rPr>
          <w:rFonts w:eastAsia="Times New Roman"/>
          <w:color w:val="000000"/>
        </w:rPr>
        <w:t xml:space="preserve"> [36], [56-58]. The constructs were mainly focused on the richness and quality of audio, video</w:t>
      </w:r>
      <w:r w:rsidR="00577CA9">
        <w:rPr>
          <w:rFonts w:eastAsia="Times New Roman"/>
          <w:color w:val="000000"/>
        </w:rPr>
        <w:t>,</w:t>
      </w:r>
      <w:r>
        <w:rPr>
          <w:rFonts w:eastAsia="Times New Roman"/>
          <w:color w:val="000000"/>
        </w:rPr>
        <w:t xml:space="preserve"> and text-based content.</w:t>
      </w:r>
    </w:p>
    <w:p w14:paraId="5ECD333A" w14:textId="77777777" w:rsidR="009150D3" w:rsidRPr="00A57916" w:rsidRDefault="009150D3" w:rsidP="00505BE8">
      <w:pPr>
        <w:spacing w:beforeLines="100" w:before="360" w:line="276" w:lineRule="auto"/>
        <w:jc w:val="both"/>
        <w:rPr>
          <w:rFonts w:ascii="Arial" w:eastAsia="Times New Roman" w:hAnsi="Arial" w:cs="Arial"/>
          <w:b/>
          <w:color w:val="000000"/>
          <w:sz w:val="28"/>
          <w:szCs w:val="28"/>
        </w:rPr>
      </w:pPr>
      <w:r w:rsidRPr="00A57916">
        <w:rPr>
          <w:rFonts w:ascii="Arial" w:eastAsia="Times New Roman" w:hAnsi="Arial" w:cs="Arial"/>
          <w:b/>
          <w:color w:val="000000"/>
          <w:sz w:val="28"/>
          <w:szCs w:val="28"/>
        </w:rPr>
        <w:t>3.2 Data Collection</w:t>
      </w:r>
    </w:p>
    <w:p w14:paraId="23EEB385" w14:textId="2D50F4B9" w:rsidR="009150D3" w:rsidRDefault="009150D3" w:rsidP="00505BE8">
      <w:pPr>
        <w:spacing w:line="276" w:lineRule="auto"/>
        <w:ind w:firstLine="476"/>
        <w:jc w:val="both"/>
        <w:rPr>
          <w:rFonts w:eastAsia="Times New Roman"/>
          <w:color w:val="000000"/>
        </w:rPr>
      </w:pPr>
      <w:r>
        <w:rPr>
          <w:rFonts w:eastAsia="Times New Roman"/>
          <w:color w:val="000000"/>
        </w:rPr>
        <w:t xml:space="preserve">Since the targeted respondents are social commerce users and it is more efficient to reach them online, an online survey was conducted for primary data collection [1]. The respondents were users of Facebook and Instagram who purchase online. The study is not confined to any specific brand or product category. </w:t>
      </w:r>
      <w:r w:rsidR="00B24E3A">
        <w:rPr>
          <w:rFonts w:eastAsia="Times New Roman"/>
          <w:color w:val="000000"/>
        </w:rPr>
        <w:t>A c</w:t>
      </w:r>
      <w:r>
        <w:rPr>
          <w:rFonts w:eastAsia="Times New Roman"/>
          <w:color w:val="000000"/>
        </w:rPr>
        <w:t xml:space="preserve">onvenience sampling technique was used. The questionnaire was made in </w:t>
      </w:r>
      <w:r w:rsidR="00577CA9">
        <w:rPr>
          <w:rFonts w:eastAsia="Times New Roman"/>
          <w:color w:val="000000"/>
        </w:rPr>
        <w:t xml:space="preserve">the </w:t>
      </w:r>
      <w:r>
        <w:rPr>
          <w:rFonts w:eastAsia="Times New Roman"/>
          <w:color w:val="000000"/>
        </w:rPr>
        <w:t>google form</w:t>
      </w:r>
      <w:r w:rsidR="00577CA9">
        <w:rPr>
          <w:rFonts w:eastAsia="Times New Roman"/>
          <w:color w:val="000000"/>
        </w:rPr>
        <w:t>,</w:t>
      </w:r>
      <w:r>
        <w:rPr>
          <w:rFonts w:eastAsia="Times New Roman"/>
          <w:color w:val="000000"/>
        </w:rPr>
        <w:t xml:space="preserve"> and the link was shared through e-mail and social media platforms. Researchers gathered 174 valid responses. </w:t>
      </w:r>
    </w:p>
    <w:p w14:paraId="05C08313" w14:textId="45713549" w:rsidR="005E3915" w:rsidRPr="005E3915" w:rsidRDefault="005E3915" w:rsidP="005E3915">
      <w:pPr>
        <w:widowControl/>
        <w:rPr>
          <w:rFonts w:eastAsiaTheme="minorEastAsia"/>
          <w:color w:val="000000"/>
        </w:rPr>
      </w:pPr>
      <w:r>
        <w:rPr>
          <w:rFonts w:eastAsia="Times New Roman"/>
          <w:color w:val="000000"/>
        </w:rPr>
        <w:br w:type="page"/>
      </w:r>
    </w:p>
    <w:p w14:paraId="5FDBF843" w14:textId="6A9591BC" w:rsidR="001836F2" w:rsidRPr="00505BE8" w:rsidRDefault="001836F2" w:rsidP="00505BE8">
      <w:pPr>
        <w:pStyle w:val="af5"/>
        <w:numPr>
          <w:ilvl w:val="0"/>
          <w:numId w:val="4"/>
        </w:numPr>
        <w:spacing w:beforeLines="100" w:before="360" w:afterLines="100" w:after="360" w:line="276" w:lineRule="auto"/>
        <w:ind w:left="360"/>
        <w:jc w:val="center"/>
        <w:rPr>
          <w:rFonts w:ascii="Arial" w:eastAsiaTheme="minorEastAsia" w:hAnsi="Arial" w:cs="Arial"/>
          <w:b/>
          <w:color w:val="000000"/>
          <w:sz w:val="28"/>
          <w:szCs w:val="28"/>
        </w:rPr>
      </w:pPr>
      <w:r w:rsidRPr="00505BE8">
        <w:rPr>
          <w:rFonts w:ascii="Arial" w:eastAsia="Times New Roman" w:hAnsi="Arial" w:cs="Arial"/>
          <w:b/>
          <w:color w:val="000000"/>
          <w:sz w:val="28"/>
          <w:szCs w:val="28"/>
        </w:rPr>
        <w:lastRenderedPageBreak/>
        <w:t>DATA ANALYSIS</w:t>
      </w:r>
    </w:p>
    <w:p w14:paraId="4D37FD01" w14:textId="77777777" w:rsidR="009150D3" w:rsidRPr="00A57916" w:rsidRDefault="009150D3" w:rsidP="00505BE8">
      <w:pPr>
        <w:spacing w:line="276" w:lineRule="auto"/>
        <w:jc w:val="both"/>
        <w:rPr>
          <w:rFonts w:ascii="Arial" w:eastAsia="Times New Roman" w:hAnsi="Arial" w:cs="Arial"/>
          <w:b/>
          <w:color w:val="000000"/>
          <w:sz w:val="28"/>
          <w:szCs w:val="28"/>
        </w:rPr>
      </w:pPr>
      <w:r w:rsidRPr="00A57916">
        <w:rPr>
          <w:rFonts w:ascii="Arial" w:eastAsia="Times New Roman" w:hAnsi="Arial" w:cs="Arial"/>
          <w:b/>
          <w:color w:val="000000"/>
          <w:sz w:val="28"/>
          <w:szCs w:val="28"/>
        </w:rPr>
        <w:t>4.1 Measurement Model</w:t>
      </w:r>
    </w:p>
    <w:p w14:paraId="158DDD0C" w14:textId="5D62EA90" w:rsidR="009150D3" w:rsidRPr="00A57916" w:rsidRDefault="009150D3" w:rsidP="00505BE8">
      <w:pPr>
        <w:spacing w:line="276" w:lineRule="auto"/>
        <w:ind w:firstLine="476"/>
        <w:jc w:val="both"/>
        <w:rPr>
          <w:rFonts w:eastAsiaTheme="minorEastAsia"/>
        </w:rPr>
      </w:pPr>
      <w:r>
        <w:rPr>
          <w:rFonts w:eastAsia="Times New Roman"/>
          <w:color w:val="000000"/>
        </w:rPr>
        <w:t>Researchers analysed a measurement model using a</w:t>
      </w:r>
      <w:r w:rsidR="00577CA9">
        <w:rPr>
          <w:rFonts w:eastAsia="Times New Roman"/>
          <w:color w:val="000000"/>
        </w:rPr>
        <w:t>n</w:t>
      </w:r>
      <w:r>
        <w:rPr>
          <w:rFonts w:eastAsia="Times New Roman"/>
          <w:color w:val="000000"/>
        </w:rPr>
        <w:t xml:space="preserve"> exploratory factor analysis (EFA) to identify the constructs. The exploratory factor analysis resulted in seven latent factors. The reliability of the constructs was tested using Cronbach alpha. KMO and Bartlett's test scores were used to assess internal consistency. </w:t>
      </w:r>
      <w:r>
        <w:rPr>
          <w:rFonts w:eastAsia="Times New Roman"/>
        </w:rPr>
        <w:t xml:space="preserve">Cronbach alpha values were under the acceptable threshold of 0.9, KMO, and Bartlett's test score exceeded 0.6. The model fitness was ascertained using multiple regression analysis. </w:t>
      </w:r>
    </w:p>
    <w:p w14:paraId="7E65DF4F" w14:textId="77777777" w:rsidR="009150D3" w:rsidRPr="00A57916" w:rsidRDefault="009150D3" w:rsidP="00505BE8">
      <w:pPr>
        <w:spacing w:beforeLines="100" w:before="360" w:line="276" w:lineRule="auto"/>
        <w:jc w:val="both"/>
        <w:rPr>
          <w:rFonts w:ascii="Arial" w:eastAsia="Times New Roman" w:hAnsi="Arial" w:cs="Arial"/>
          <w:b/>
          <w:color w:val="000000"/>
          <w:sz w:val="28"/>
          <w:szCs w:val="28"/>
        </w:rPr>
      </w:pPr>
      <w:r w:rsidRPr="00A57916">
        <w:rPr>
          <w:rFonts w:ascii="Arial" w:eastAsia="Times New Roman" w:hAnsi="Arial" w:cs="Arial"/>
          <w:b/>
          <w:color w:val="000000"/>
          <w:sz w:val="28"/>
          <w:szCs w:val="28"/>
        </w:rPr>
        <w:t>4.2 Demographics</w:t>
      </w:r>
    </w:p>
    <w:p w14:paraId="2534E49E" w14:textId="36CD7A58" w:rsidR="009150D3" w:rsidRDefault="00577CA9" w:rsidP="00505BE8">
      <w:pPr>
        <w:spacing w:line="276" w:lineRule="auto"/>
        <w:ind w:firstLine="476"/>
        <w:jc w:val="both"/>
        <w:rPr>
          <w:rFonts w:eastAsia="Times New Roman"/>
        </w:rPr>
      </w:pPr>
      <w:r>
        <w:rPr>
          <w:rFonts w:eastAsia="Times New Roman"/>
          <w:color w:val="000000"/>
        </w:rPr>
        <w:t>Several demographic cues are considered control variables to reduce exogenous threats to the research model</w:t>
      </w:r>
      <w:r w:rsidR="009150D3">
        <w:rPr>
          <w:rFonts w:eastAsia="Times New Roman"/>
          <w:color w:val="000000"/>
        </w:rPr>
        <w:t>. First</w:t>
      </w:r>
      <w:r>
        <w:rPr>
          <w:rFonts w:eastAsia="Times New Roman"/>
          <w:color w:val="000000"/>
        </w:rPr>
        <w:t>,</w:t>
      </w:r>
      <w:r w:rsidR="009150D3">
        <w:rPr>
          <w:rFonts w:eastAsia="Times New Roman"/>
          <w:color w:val="000000"/>
        </w:rPr>
        <w:t xml:space="preserve"> age is controlled because research shows that younger users are more susceptible to interpersonal influence than older users. Second, income deserves attention because the availability of disposable income should influence a person's impulsive consumption. Third, gender is included because the literature suggests that men and women often act differently regarding online social networking activities and impulsive purchase behaviors. Fourth, occupation may also prove to be an influential factor. </w:t>
      </w:r>
    </w:p>
    <w:p w14:paraId="0498A7DD" w14:textId="77777777" w:rsidR="00577CA9" w:rsidRDefault="009150D3" w:rsidP="00505BE8">
      <w:pPr>
        <w:spacing w:beforeLines="50" w:before="180" w:line="276" w:lineRule="auto"/>
        <w:ind w:firstLine="476"/>
        <w:jc w:val="both"/>
        <w:rPr>
          <w:rFonts w:eastAsia="Times New Roman"/>
          <w:color w:val="000000"/>
        </w:rPr>
      </w:pPr>
      <w:r>
        <w:rPr>
          <w:rFonts w:eastAsia="Times New Roman"/>
        </w:rPr>
        <w:t xml:space="preserve">In a research study conducted by Nielsen in 2012, </w:t>
      </w:r>
      <w:r w:rsidR="00577CA9">
        <w:rPr>
          <w:rFonts w:eastAsia="Times New Roman"/>
          <w:color w:val="000000"/>
        </w:rPr>
        <w:t>Most</w:t>
      </w:r>
      <w:r>
        <w:rPr>
          <w:rFonts w:eastAsia="Times New Roman"/>
          <w:color w:val="000000"/>
        </w:rPr>
        <w:t xml:space="preserve"> respondents were male representing 63.4% of the sample. 79.4% of respondents represent the age category of 17 – 25 years.</w:t>
      </w:r>
      <w:r>
        <w:rPr>
          <w:rFonts w:eastAsia="Times New Roman"/>
          <w:color w:val="131413"/>
        </w:rPr>
        <w:t xml:space="preserve"> Even though people older than 34 years are underrepresented in this research, the age distribution reveals th</w:t>
      </w:r>
      <w:r w:rsidR="00577CA9">
        <w:rPr>
          <w:rFonts w:eastAsia="Times New Roman"/>
          <w:color w:val="131413"/>
        </w:rPr>
        <w:t>at social media presence and engagement are driven mainly by</w:t>
      </w:r>
      <w:r>
        <w:rPr>
          <w:rFonts w:eastAsia="Times New Roman"/>
          <w:color w:val="131413"/>
        </w:rPr>
        <w:t xml:space="preserve"> 18–34. </w:t>
      </w:r>
      <w:r>
        <w:rPr>
          <w:rFonts w:eastAsia="Times New Roman"/>
          <w:color w:val="000000"/>
        </w:rPr>
        <w:t xml:space="preserve">55% of respondents were in the income category of 9 lacs per annum (family income) at the </w:t>
      </w:r>
      <w:r w:rsidR="00577CA9">
        <w:rPr>
          <w:rFonts w:eastAsia="Times New Roman"/>
          <w:color w:val="000000"/>
        </w:rPr>
        <w:t>survey time</w:t>
      </w:r>
      <w:r>
        <w:rPr>
          <w:rFonts w:eastAsia="Times New Roman"/>
          <w:color w:val="000000"/>
        </w:rPr>
        <w:t>. The majority of respondents are students representing 62.9% of total responses, followed by 26.9% are employees.</w:t>
      </w:r>
    </w:p>
    <w:p w14:paraId="40E7145A" w14:textId="03DB4841" w:rsidR="009150D3" w:rsidRPr="00A57916" w:rsidRDefault="009150D3" w:rsidP="00505BE8">
      <w:pPr>
        <w:spacing w:beforeLines="50" w:before="180" w:line="276" w:lineRule="auto"/>
        <w:ind w:firstLine="476"/>
        <w:jc w:val="both"/>
        <w:rPr>
          <w:rFonts w:eastAsiaTheme="minorEastAsia"/>
        </w:rPr>
      </w:pPr>
      <w:r>
        <w:rPr>
          <w:rFonts w:eastAsia="Times New Roman"/>
          <w:color w:val="000000"/>
        </w:rPr>
        <w:t xml:space="preserve">Further, 45.7% of the survey respondents </w:t>
      </w:r>
      <w:r w:rsidR="00577CA9">
        <w:rPr>
          <w:rFonts w:eastAsia="Times New Roman"/>
          <w:color w:val="000000"/>
        </w:rPr>
        <w:t>spent</w:t>
      </w:r>
      <w:r>
        <w:rPr>
          <w:rFonts w:eastAsia="Times New Roman"/>
          <w:color w:val="000000"/>
        </w:rPr>
        <w:t xml:space="preserve"> 1 to 3 hours a day on social media. </w:t>
      </w:r>
      <w:r w:rsidR="00577CA9">
        <w:rPr>
          <w:rFonts w:eastAsia="Times New Roman"/>
          <w:color w:val="000000"/>
        </w:rPr>
        <w:t>Signific</w:t>
      </w:r>
      <w:r>
        <w:rPr>
          <w:rFonts w:eastAsia="Times New Roman"/>
          <w:color w:val="000000"/>
        </w:rPr>
        <w:t>antly, 77.7% of the respondents were using social media for Entertainment. 75.4 % of the respondents made purchases seeing posts on Instagram. </w:t>
      </w:r>
    </w:p>
    <w:p w14:paraId="56FCD333" w14:textId="0E6FA7A1" w:rsidR="009150D3" w:rsidRPr="00A57916" w:rsidRDefault="009150D3" w:rsidP="00505BE8">
      <w:pPr>
        <w:spacing w:beforeLines="100" w:before="360" w:line="276" w:lineRule="auto"/>
        <w:jc w:val="both"/>
        <w:rPr>
          <w:rFonts w:ascii="Arial" w:eastAsiaTheme="minorEastAsia" w:hAnsi="Arial" w:cs="Arial"/>
          <w:b/>
          <w:color w:val="000000"/>
          <w:sz w:val="28"/>
          <w:szCs w:val="28"/>
        </w:rPr>
      </w:pPr>
      <w:r w:rsidRPr="00A57916">
        <w:rPr>
          <w:rFonts w:ascii="Arial" w:eastAsia="Times New Roman" w:hAnsi="Arial" w:cs="Arial"/>
          <w:b/>
          <w:color w:val="000000"/>
          <w:sz w:val="28"/>
          <w:szCs w:val="28"/>
        </w:rPr>
        <w:t>4.</w:t>
      </w:r>
      <w:r w:rsidR="001836F2" w:rsidRPr="00A57916">
        <w:rPr>
          <w:rFonts w:ascii="Arial" w:eastAsia="Times New Roman" w:hAnsi="Arial" w:cs="Arial"/>
          <w:b/>
          <w:color w:val="000000"/>
          <w:sz w:val="28"/>
          <w:szCs w:val="28"/>
        </w:rPr>
        <w:t>3</w:t>
      </w:r>
      <w:r w:rsidRPr="00A57916">
        <w:rPr>
          <w:rFonts w:ascii="Arial" w:eastAsia="Times New Roman" w:hAnsi="Arial" w:cs="Arial"/>
          <w:b/>
          <w:color w:val="000000"/>
          <w:sz w:val="28"/>
          <w:szCs w:val="28"/>
        </w:rPr>
        <w:t xml:space="preserve"> Statistical Tests</w:t>
      </w:r>
    </w:p>
    <w:p w14:paraId="3456038B" w14:textId="6C7E7FF0" w:rsidR="003A5130" w:rsidRPr="00A57916" w:rsidRDefault="009150D3" w:rsidP="00505BE8">
      <w:pPr>
        <w:spacing w:before="13" w:line="276" w:lineRule="auto"/>
        <w:ind w:firstLine="293"/>
        <w:jc w:val="both"/>
        <w:rPr>
          <w:rFonts w:ascii="Times" w:eastAsiaTheme="minorEastAsia" w:hAnsi="Times" w:cs="Times"/>
          <w:color w:val="000000"/>
        </w:rPr>
      </w:pPr>
      <w:r w:rsidRPr="007B54F2">
        <w:rPr>
          <w:rFonts w:ascii="Times" w:eastAsia="Times New Roman" w:hAnsi="Times" w:cs="Times"/>
          <w:color w:val="000000"/>
        </w:rPr>
        <w:t>The statistical measure used to analyse the data was Pearson</w:t>
      </w:r>
      <w:r w:rsidR="00577CA9">
        <w:rPr>
          <w:rFonts w:ascii="Times" w:eastAsia="Times New Roman" w:hAnsi="Times" w:cs="Times"/>
          <w:color w:val="000000"/>
        </w:rPr>
        <w:t>'</w:t>
      </w:r>
      <w:r w:rsidRPr="007B54F2">
        <w:rPr>
          <w:rFonts w:ascii="Times" w:eastAsia="Times New Roman" w:hAnsi="Times" w:cs="Times"/>
          <w:color w:val="000000"/>
        </w:rPr>
        <w:t xml:space="preserve">s Chi-Square test, the most commonly used type of Chi-Square significance test </w:t>
      </w:r>
      <w:r w:rsidR="00577CA9">
        <w:rPr>
          <w:rFonts w:ascii="Times" w:eastAsia="Times New Roman" w:hAnsi="Times" w:cs="Times"/>
          <w:color w:val="000000"/>
        </w:rPr>
        <w:t xml:space="preserve">to know if frequencies of </w:t>
      </w:r>
      <w:r w:rsidR="00577CA9">
        <w:rPr>
          <w:rFonts w:ascii="Times" w:eastAsia="Times New Roman" w:hAnsi="Times" w:cs="Times"/>
          <w:color w:val="000000"/>
        </w:rPr>
        <w:lastRenderedPageBreak/>
        <w:t>cases possessing some quality vary</w:t>
      </w:r>
      <w:r w:rsidRPr="007B54F2">
        <w:rPr>
          <w:rFonts w:ascii="Times" w:eastAsia="Times New Roman" w:hAnsi="Times" w:cs="Times"/>
          <w:color w:val="000000"/>
        </w:rPr>
        <w:t xml:space="preserve"> among levels of a given factor. The main goal of the Chi-Square test is to show whether there are significant differences between the populations being tested. In the present study context, it was evident from the study results that </w:t>
      </w:r>
      <w:r w:rsidR="00577CA9">
        <w:rPr>
          <w:rFonts w:ascii="Times" w:eastAsia="Times New Roman" w:hAnsi="Times" w:cs="Times"/>
          <w:color w:val="000000"/>
        </w:rPr>
        <w:t>an association exists</w:t>
      </w:r>
      <w:r w:rsidRPr="007B54F2">
        <w:rPr>
          <w:rFonts w:ascii="Times" w:eastAsia="Times New Roman" w:hAnsi="Times" w:cs="Times"/>
          <w:color w:val="000000"/>
        </w:rPr>
        <w:t xml:space="preserve"> between brand engagement and gender. The brands have always tried various brand engagement techniques</w:t>
      </w:r>
      <w:r w:rsidR="00577CA9">
        <w:rPr>
          <w:rFonts w:ascii="Times" w:eastAsia="Times New Roman" w:hAnsi="Times" w:cs="Times"/>
          <w:color w:val="000000"/>
        </w:rPr>
        <w:t>,</w:t>
      </w:r>
      <w:r w:rsidRPr="007B54F2">
        <w:rPr>
          <w:rFonts w:ascii="Times" w:eastAsia="Times New Roman" w:hAnsi="Times" w:cs="Times"/>
          <w:color w:val="000000"/>
        </w:rPr>
        <w:t xml:space="preserve"> and from the study</w:t>
      </w:r>
      <w:r w:rsidR="00577CA9">
        <w:rPr>
          <w:rFonts w:ascii="Times" w:eastAsia="Times New Roman" w:hAnsi="Times" w:cs="Times"/>
          <w:color w:val="000000"/>
        </w:rPr>
        <w:t>,</w:t>
      </w:r>
      <w:r w:rsidRPr="007B54F2">
        <w:rPr>
          <w:rFonts w:ascii="Times" w:eastAsia="Times New Roman" w:hAnsi="Times" w:cs="Times"/>
          <w:color w:val="000000"/>
        </w:rPr>
        <w:t xml:space="preserve"> it has been highlighted that male</w:t>
      </w:r>
      <w:r w:rsidR="00577CA9">
        <w:rPr>
          <w:rFonts w:ascii="Times" w:eastAsia="Times New Roman" w:hAnsi="Times" w:cs="Times"/>
          <w:color w:val="000000"/>
        </w:rPr>
        <w:t>s</w:t>
      </w:r>
      <w:r w:rsidRPr="007B54F2">
        <w:rPr>
          <w:rFonts w:ascii="Times" w:eastAsia="Times New Roman" w:hAnsi="Times" w:cs="Times"/>
          <w:color w:val="000000"/>
        </w:rPr>
        <w:t xml:space="preserve"> and female</w:t>
      </w:r>
      <w:r w:rsidR="00577CA9">
        <w:rPr>
          <w:rFonts w:ascii="Times" w:eastAsia="Times New Roman" w:hAnsi="Times" w:cs="Times"/>
          <w:color w:val="000000"/>
        </w:rPr>
        <w:t>s</w:t>
      </w:r>
      <w:r w:rsidRPr="007B54F2">
        <w:rPr>
          <w:rFonts w:ascii="Times" w:eastAsia="Times New Roman" w:hAnsi="Times" w:cs="Times"/>
          <w:color w:val="000000"/>
        </w:rPr>
        <w:t xml:space="preserve"> engage with brands of different levels. The strategies must therefore be specifically designed for each group. The age groups also showed significant differences while engaging with the brand. The brand engagement strategies must </w:t>
      </w:r>
      <w:r w:rsidR="00577CA9">
        <w:rPr>
          <w:rFonts w:ascii="Times" w:eastAsia="Times New Roman" w:hAnsi="Times" w:cs="Times"/>
          <w:color w:val="000000"/>
        </w:rPr>
        <w:t>consequently</w:t>
      </w:r>
      <w:r w:rsidRPr="007B54F2">
        <w:rPr>
          <w:rFonts w:ascii="Times" w:eastAsia="Times New Roman" w:hAnsi="Times" w:cs="Times"/>
          <w:color w:val="000000"/>
        </w:rPr>
        <w:t xml:space="preserve"> be inclined according to the age groups. Younger age groups have shown more engagement with the brand </w:t>
      </w:r>
      <w:r w:rsidR="00577CA9">
        <w:rPr>
          <w:rFonts w:ascii="Times" w:eastAsia="Times New Roman" w:hAnsi="Times" w:cs="Times"/>
          <w:color w:val="000000"/>
        </w:rPr>
        <w:t>than</w:t>
      </w:r>
      <w:r w:rsidRPr="007B54F2">
        <w:rPr>
          <w:rFonts w:ascii="Times" w:eastAsia="Times New Roman" w:hAnsi="Times" w:cs="Times"/>
          <w:color w:val="000000"/>
        </w:rPr>
        <w:t xml:space="preserve"> the older age groups. Emotional contagion also varies with the different age groups</w:t>
      </w:r>
      <w:r w:rsidR="00577CA9">
        <w:rPr>
          <w:rFonts w:ascii="Times" w:eastAsia="Times New Roman" w:hAnsi="Times" w:cs="Times"/>
          <w:color w:val="000000"/>
        </w:rPr>
        <w:t>. T</w:t>
      </w:r>
      <w:r w:rsidRPr="007B54F2">
        <w:rPr>
          <w:rFonts w:ascii="Times" w:eastAsia="Times New Roman" w:hAnsi="Times" w:cs="Times"/>
          <w:color w:val="000000"/>
        </w:rPr>
        <w:t xml:space="preserve">he study has highlighted </w:t>
      </w:r>
      <w:r w:rsidR="00577CA9">
        <w:rPr>
          <w:rFonts w:ascii="Times" w:eastAsia="Times New Roman" w:hAnsi="Times" w:cs="Times"/>
          <w:color w:val="000000"/>
        </w:rPr>
        <w:t>other</w:t>
      </w:r>
      <w:r w:rsidRPr="007B54F2">
        <w:rPr>
          <w:rFonts w:ascii="Times" w:eastAsia="Times New Roman" w:hAnsi="Times" w:cs="Times"/>
          <w:color w:val="000000"/>
        </w:rPr>
        <w:t xml:space="preserve"> groups</w:t>
      </w:r>
      <w:r w:rsidR="00577CA9">
        <w:rPr>
          <w:rFonts w:ascii="Times" w:eastAsia="Times New Roman" w:hAnsi="Times" w:cs="Times"/>
          <w:color w:val="000000"/>
        </w:rPr>
        <w:t>'</w:t>
      </w:r>
      <w:r w:rsidRPr="007B54F2">
        <w:rPr>
          <w:rFonts w:ascii="Times" w:eastAsia="Times New Roman" w:hAnsi="Times" w:cs="Times"/>
          <w:color w:val="000000"/>
        </w:rPr>
        <w:t xml:space="preserve"> attitudes towards the indicators of emotional contagion (visual, audio</w:t>
      </w:r>
      <w:r w:rsidR="00577CA9">
        <w:rPr>
          <w:rFonts w:ascii="Times" w:eastAsia="Times New Roman" w:hAnsi="Times" w:cs="Times"/>
          <w:color w:val="000000"/>
        </w:rPr>
        <w:t>,</w:t>
      </w:r>
      <w:r w:rsidRPr="007B54F2">
        <w:rPr>
          <w:rFonts w:ascii="Times" w:eastAsia="Times New Roman" w:hAnsi="Times" w:cs="Times"/>
          <w:color w:val="000000"/>
        </w:rPr>
        <w:t xml:space="preserve"> and word content).  Education does not play an </w:t>
      </w:r>
      <w:r w:rsidR="00577CA9">
        <w:rPr>
          <w:rFonts w:ascii="Times" w:eastAsia="Times New Roman" w:hAnsi="Times" w:cs="Times"/>
          <w:color w:val="000000"/>
        </w:rPr>
        <w:t>essential</w:t>
      </w:r>
      <w:r w:rsidRPr="007B54F2">
        <w:rPr>
          <w:rFonts w:ascii="Times" w:eastAsia="Times New Roman" w:hAnsi="Times" w:cs="Times"/>
          <w:color w:val="000000"/>
        </w:rPr>
        <w:t xml:space="preserve"> role as emotional contagion comprises visual and text content</w:t>
      </w:r>
      <w:r w:rsidR="00577CA9">
        <w:rPr>
          <w:rFonts w:ascii="Times" w:eastAsia="Times New Roman" w:hAnsi="Times" w:cs="Times"/>
          <w:color w:val="000000"/>
        </w:rPr>
        <w:t>,</w:t>
      </w:r>
      <w:r w:rsidRPr="007B54F2">
        <w:rPr>
          <w:rFonts w:ascii="Times" w:eastAsia="Times New Roman" w:hAnsi="Times" w:cs="Times"/>
          <w:color w:val="000000"/>
        </w:rPr>
        <w:t xml:space="preserve"> and it's more than sufficient for the development of emotional contagion.</w:t>
      </w:r>
    </w:p>
    <w:p w14:paraId="051192AA" w14:textId="033B2FAD" w:rsidR="00841E8E" w:rsidRDefault="00FD5AFA" w:rsidP="00505BE8">
      <w:pPr>
        <w:spacing w:beforeLines="50" w:before="180" w:line="276" w:lineRule="auto"/>
        <w:jc w:val="both"/>
        <w:rPr>
          <w:szCs w:val="20"/>
        </w:rPr>
      </w:pPr>
      <w:r>
        <w:rPr>
          <w:rFonts w:hint="eastAsia"/>
          <w:szCs w:val="20"/>
        </w:rPr>
        <w:t xml:space="preserve">    </w:t>
      </w:r>
      <w:r w:rsidR="00841E8E" w:rsidRPr="00841E8E">
        <w:rPr>
          <w:szCs w:val="20"/>
        </w:rPr>
        <w:t xml:space="preserve">The cosmetic side of website design is where content layout, typeface, colour, and other design elements appeal to web users and instil a behavioural intention to use the website for online transactions. Multiple elements have an impact on how well a website works. A retail website should provide accurate information on products and services. Poor clarity of web information resulted in several customer complaints or product returns [28]. The search effectiveness of a retail website is another important component in functionality [29-30]. People shop online for </w:t>
      </w:r>
      <w:r w:rsidR="00B24E3A">
        <w:rPr>
          <w:szCs w:val="20"/>
        </w:rPr>
        <w:t>various reasons, one of which is</w:t>
      </w:r>
      <w:r w:rsidR="00841E8E" w:rsidRPr="00841E8E">
        <w:rPr>
          <w:szCs w:val="20"/>
        </w:rPr>
        <w:t xml:space="preserve"> convenience. As a result, online customers expect a retailer's website to provide quick access to information. </w:t>
      </w:r>
      <w:r w:rsidR="00B24E3A">
        <w:rPr>
          <w:szCs w:val="20"/>
        </w:rPr>
        <w:t>An Internet shop's excellent order procurement quality</w:t>
      </w:r>
      <w:r w:rsidR="00841E8E" w:rsidRPr="00841E8E">
        <w:rPr>
          <w:szCs w:val="20"/>
        </w:rPr>
        <w:t xml:space="preserve"> indicates that their online order procurement procedure satisfies clients in terms of cosmetic and functional criteria.</w:t>
      </w:r>
    </w:p>
    <w:p w14:paraId="45A9C2D9" w14:textId="0C86442F" w:rsidR="00583874" w:rsidRPr="00FD5AFA" w:rsidRDefault="00FD5AFA" w:rsidP="00505BE8">
      <w:pPr>
        <w:spacing w:beforeLines="50" w:before="180" w:line="276" w:lineRule="auto"/>
        <w:jc w:val="both"/>
        <w:rPr>
          <w:rFonts w:eastAsiaTheme="minorEastAsia"/>
        </w:rPr>
      </w:pPr>
      <w:r>
        <w:rPr>
          <w:rFonts w:hint="eastAsia"/>
          <w:szCs w:val="20"/>
        </w:rPr>
        <w:t xml:space="preserve">    </w:t>
      </w:r>
      <w:r w:rsidR="00583874" w:rsidRPr="00402558">
        <w:rPr>
          <w:szCs w:val="20"/>
        </w:rPr>
        <w:t xml:space="preserve">In contrast to order procurement, the goal of order fulfillment is </w:t>
      </w:r>
      <w:r w:rsidR="00577CA9">
        <w:rPr>
          <w:szCs w:val="20"/>
        </w:rPr>
        <w:t xml:space="preserve">the </w:t>
      </w:r>
      <w:r w:rsidR="00583874" w:rsidRPr="00402558">
        <w:rPr>
          <w:szCs w:val="20"/>
        </w:rPr>
        <w:t xml:space="preserve">timely delivery of an ordered item to the customer. Order fulfillment entails </w:t>
      </w:r>
      <w:r w:rsidR="00577CA9">
        <w:rPr>
          <w:szCs w:val="20"/>
        </w:rPr>
        <w:t xml:space="preserve">the </w:t>
      </w:r>
      <w:r w:rsidR="00583874" w:rsidRPr="00402558">
        <w:rPr>
          <w:szCs w:val="20"/>
        </w:rPr>
        <w:t xml:space="preserve">actual delivery of the </w:t>
      </w:r>
      <w:r w:rsidR="00577CA9">
        <w:rPr>
          <w:szCs w:val="20"/>
        </w:rPr>
        <w:t>object</w:t>
      </w:r>
      <w:r w:rsidR="00583874" w:rsidRPr="00402558">
        <w:rPr>
          <w:szCs w:val="20"/>
        </w:rPr>
        <w:t xml:space="preserve"> through pre-organized supply chains. This offline process is </w:t>
      </w:r>
      <w:r w:rsidR="00577CA9">
        <w:rPr>
          <w:szCs w:val="20"/>
        </w:rPr>
        <w:t>entir</w:t>
      </w:r>
      <w:r w:rsidR="00583874" w:rsidRPr="00402558">
        <w:rPr>
          <w:szCs w:val="20"/>
        </w:rPr>
        <w:t>ely separate from online procurement</w:t>
      </w:r>
      <w:r w:rsidR="00577CA9">
        <w:rPr>
          <w:szCs w:val="20"/>
        </w:rPr>
        <w:t>,</w:t>
      </w:r>
      <w:r w:rsidR="00583874" w:rsidRPr="00402558">
        <w:rPr>
          <w:szCs w:val="20"/>
        </w:rPr>
        <w:t xml:space="preserve"> and high order procurement quality cannot guarantee </w:t>
      </w:r>
      <w:r w:rsidR="00577CA9">
        <w:rPr>
          <w:szCs w:val="20"/>
        </w:rPr>
        <w:t>tall</w:t>
      </w:r>
      <w:r w:rsidR="00583874" w:rsidRPr="00402558">
        <w:rPr>
          <w:szCs w:val="20"/>
        </w:rPr>
        <w:t xml:space="preserve"> order fulfillment quality. One </w:t>
      </w:r>
      <w:r w:rsidR="00577CA9">
        <w:rPr>
          <w:szCs w:val="20"/>
        </w:rPr>
        <w:t>significant</w:t>
      </w:r>
      <w:r w:rsidR="00583874" w:rsidRPr="00402558">
        <w:rPr>
          <w:szCs w:val="20"/>
        </w:rPr>
        <w:t xml:space="preserve"> order fulfillment quality factor is on-time delivery</w:t>
      </w:r>
      <w:r w:rsidR="00632DC9">
        <w:rPr>
          <w:rFonts w:hint="eastAsia"/>
          <w:szCs w:val="20"/>
        </w:rPr>
        <w:t xml:space="preserve"> [</w:t>
      </w:r>
      <w:r w:rsidR="00583874" w:rsidRPr="00402558">
        <w:rPr>
          <w:szCs w:val="20"/>
        </w:rPr>
        <w:t>4</w:t>
      </w:r>
      <w:r w:rsidR="00632DC9">
        <w:rPr>
          <w:rFonts w:hint="eastAsia"/>
          <w:szCs w:val="20"/>
        </w:rPr>
        <w:t>]</w:t>
      </w:r>
      <w:r w:rsidR="00583874" w:rsidRPr="00402558">
        <w:rPr>
          <w:szCs w:val="20"/>
        </w:rPr>
        <w:t xml:space="preserve">, </w:t>
      </w:r>
      <w:r w:rsidR="00632DC9">
        <w:rPr>
          <w:rFonts w:hint="eastAsia"/>
          <w:szCs w:val="20"/>
        </w:rPr>
        <w:t>[</w:t>
      </w:r>
      <w:r w:rsidR="00583874" w:rsidRPr="00402558">
        <w:rPr>
          <w:szCs w:val="20"/>
        </w:rPr>
        <w:t>31</w:t>
      </w:r>
      <w:r w:rsidR="008E49DA">
        <w:rPr>
          <w:szCs w:val="20"/>
        </w:rPr>
        <w:t>-</w:t>
      </w:r>
      <w:r w:rsidR="00583874" w:rsidRPr="00402558">
        <w:rPr>
          <w:szCs w:val="20"/>
        </w:rPr>
        <w:t>33</w:t>
      </w:r>
      <w:r w:rsidR="00632DC9">
        <w:rPr>
          <w:rFonts w:hint="eastAsia"/>
          <w:szCs w:val="20"/>
        </w:rPr>
        <w:t>]</w:t>
      </w:r>
      <w:r w:rsidR="00583874" w:rsidRPr="00402558">
        <w:rPr>
          <w:szCs w:val="20"/>
        </w:rPr>
        <w:t xml:space="preserve">. After placing an order online, customers want to receive the order </w:t>
      </w:r>
      <w:r w:rsidR="00577CA9">
        <w:rPr>
          <w:szCs w:val="20"/>
        </w:rPr>
        <w:t>promptly</w:t>
      </w:r>
      <w:r w:rsidR="00583874" w:rsidRPr="00402558">
        <w:rPr>
          <w:szCs w:val="20"/>
        </w:rPr>
        <w:t xml:space="preserve">. Delayed delivery increases their anxiety which leads to dissatisfaction. One </w:t>
      </w:r>
      <w:r w:rsidR="00583874" w:rsidRPr="00402558">
        <w:rPr>
          <w:szCs w:val="20"/>
        </w:rPr>
        <w:lastRenderedPageBreak/>
        <w:t>way to lessen the anxiety is an order tracking service which is another service factor in the order fulfillment process</w:t>
      </w:r>
      <w:r w:rsidR="00632DC9">
        <w:rPr>
          <w:rFonts w:hint="eastAsia"/>
          <w:szCs w:val="20"/>
        </w:rPr>
        <w:t xml:space="preserve"> [</w:t>
      </w:r>
      <w:r w:rsidR="00583874" w:rsidRPr="00402558">
        <w:rPr>
          <w:szCs w:val="20"/>
        </w:rPr>
        <w:t>30</w:t>
      </w:r>
      <w:r w:rsidR="00632DC9">
        <w:rPr>
          <w:rFonts w:hint="eastAsia"/>
          <w:szCs w:val="20"/>
        </w:rPr>
        <w:t>]</w:t>
      </w:r>
      <w:r w:rsidR="00583874" w:rsidRPr="00402558">
        <w:rPr>
          <w:szCs w:val="20"/>
        </w:rPr>
        <w:t>. More fundamentally, on-time delivery requires product availability. Retailers showcase their product</w:t>
      </w:r>
      <w:r w:rsidR="00577CA9">
        <w:rPr>
          <w:szCs w:val="20"/>
        </w:rPr>
        <w:t>s</w:t>
      </w:r>
      <w:r w:rsidR="00583874" w:rsidRPr="00402558">
        <w:rPr>
          <w:szCs w:val="20"/>
        </w:rPr>
        <w:t xml:space="preserve"> using their websites. </w:t>
      </w:r>
      <w:r w:rsidR="00577CA9">
        <w:rPr>
          <w:szCs w:val="20"/>
        </w:rPr>
        <w:t>The delivery delay is inevitable if specific merchandise on the website is unavailable when customers order the product</w:t>
      </w:r>
      <w:r w:rsidR="00583874" w:rsidRPr="00402558">
        <w:rPr>
          <w:szCs w:val="20"/>
        </w:rPr>
        <w:t xml:space="preserve">. In this regard, </w:t>
      </w:r>
      <w:r w:rsidR="00577CA9">
        <w:rPr>
          <w:szCs w:val="20"/>
        </w:rPr>
        <w:t>product availability</w:t>
      </w:r>
      <w:r w:rsidR="00583874" w:rsidRPr="00402558">
        <w:rPr>
          <w:szCs w:val="20"/>
        </w:rPr>
        <w:t xml:space="preserve"> is an </w:t>
      </w:r>
      <w:r w:rsidR="00577CA9">
        <w:rPr>
          <w:szCs w:val="20"/>
        </w:rPr>
        <w:t>essential</w:t>
      </w:r>
      <w:r w:rsidR="00583874" w:rsidRPr="00402558">
        <w:rPr>
          <w:szCs w:val="20"/>
        </w:rPr>
        <w:t xml:space="preserve"> factor related to order fulfillment quality.</w:t>
      </w:r>
    </w:p>
    <w:p w14:paraId="48557290" w14:textId="704A7708" w:rsidR="00D80E31" w:rsidRDefault="00DB7CC1" w:rsidP="00505BE8">
      <w:pPr>
        <w:widowControl/>
        <w:adjustRightInd w:val="0"/>
        <w:snapToGrid w:val="0"/>
        <w:spacing w:beforeLines="50" w:before="180" w:line="276" w:lineRule="auto"/>
        <w:jc w:val="center"/>
        <w:rPr>
          <w:lang w:eastAsia="en-CA"/>
        </w:rPr>
      </w:pPr>
      <w:r w:rsidRPr="00920173">
        <w:rPr>
          <w:b/>
          <w:lang w:eastAsia="en-CA"/>
        </w:rPr>
        <w:t>Table 1</w:t>
      </w:r>
      <w:r w:rsidRPr="00920173">
        <w:rPr>
          <w:lang w:eastAsia="en-CA"/>
        </w:rPr>
        <w:t xml:space="preserve">. </w:t>
      </w:r>
      <w:r w:rsidR="008E6E82" w:rsidRPr="00FD5AFA">
        <w:rPr>
          <w:rFonts w:eastAsia="Times New Roman"/>
          <w:color w:val="000000"/>
        </w:rPr>
        <w:t>Chi Square Hypotheses Testing</w:t>
      </w:r>
    </w:p>
    <w:tbl>
      <w:tblPr>
        <w:tblW w:w="0" w:type="auto"/>
        <w:tblInd w:w="-142" w:type="dxa"/>
        <w:tblLayout w:type="fixed"/>
        <w:tblCellMar>
          <w:top w:w="15" w:type="dxa"/>
          <w:left w:w="15" w:type="dxa"/>
          <w:bottom w:w="15" w:type="dxa"/>
          <w:right w:w="15" w:type="dxa"/>
        </w:tblCellMar>
        <w:tblLook w:val="04A0" w:firstRow="1" w:lastRow="0" w:firstColumn="1" w:lastColumn="0" w:noHBand="0" w:noVBand="1"/>
      </w:tblPr>
      <w:tblGrid>
        <w:gridCol w:w="942"/>
        <w:gridCol w:w="3878"/>
        <w:gridCol w:w="1559"/>
        <w:gridCol w:w="2069"/>
      </w:tblGrid>
      <w:tr w:rsidR="00D80E31" w:rsidRPr="007B54F2" w14:paraId="52D82DE5" w14:textId="77777777" w:rsidTr="00FD5AFA">
        <w:trPr>
          <w:trHeight w:val="555"/>
        </w:trPr>
        <w:tc>
          <w:tcPr>
            <w:tcW w:w="942" w:type="dxa"/>
            <w:tcBorders>
              <w:top w:val="single" w:sz="4" w:space="0" w:color="auto"/>
              <w:bottom w:val="single" w:sz="4" w:space="0" w:color="auto"/>
            </w:tcBorders>
            <w:tcMar>
              <w:top w:w="100" w:type="dxa"/>
              <w:left w:w="100" w:type="dxa"/>
              <w:bottom w:w="100" w:type="dxa"/>
              <w:right w:w="100" w:type="dxa"/>
            </w:tcMar>
            <w:vAlign w:val="center"/>
            <w:hideMark/>
          </w:tcPr>
          <w:p w14:paraId="04F9A219" w14:textId="77777777" w:rsidR="00D80E31" w:rsidRPr="007B54F2" w:rsidRDefault="00D80E31" w:rsidP="00505BE8">
            <w:pPr>
              <w:spacing w:line="276" w:lineRule="auto"/>
              <w:jc w:val="center"/>
              <w:rPr>
                <w:rFonts w:eastAsia="Times New Roman"/>
              </w:rPr>
            </w:pPr>
            <w:r w:rsidRPr="007B54F2">
              <w:rPr>
                <w:rFonts w:eastAsia="Times New Roman"/>
                <w:color w:val="000000"/>
              </w:rPr>
              <w:t>Sl. No.</w:t>
            </w:r>
          </w:p>
        </w:tc>
        <w:tc>
          <w:tcPr>
            <w:tcW w:w="3878" w:type="dxa"/>
            <w:tcBorders>
              <w:top w:val="single" w:sz="4" w:space="0" w:color="auto"/>
              <w:bottom w:val="single" w:sz="4" w:space="0" w:color="auto"/>
            </w:tcBorders>
            <w:tcMar>
              <w:top w:w="100" w:type="dxa"/>
              <w:left w:w="100" w:type="dxa"/>
              <w:bottom w:w="100" w:type="dxa"/>
              <w:right w:w="100" w:type="dxa"/>
            </w:tcMar>
            <w:vAlign w:val="center"/>
            <w:hideMark/>
          </w:tcPr>
          <w:p w14:paraId="77CC50D3" w14:textId="77777777" w:rsidR="00D80E31" w:rsidRPr="007B54F2" w:rsidRDefault="00D80E31" w:rsidP="00505BE8">
            <w:pPr>
              <w:spacing w:line="276" w:lineRule="auto"/>
              <w:jc w:val="center"/>
              <w:rPr>
                <w:rFonts w:eastAsia="Times New Roman"/>
              </w:rPr>
            </w:pPr>
            <w:r w:rsidRPr="007B54F2">
              <w:rPr>
                <w:rFonts w:eastAsia="Times New Roman"/>
                <w:color w:val="000000"/>
              </w:rPr>
              <w:t>Chi Square Hypotheses</w:t>
            </w:r>
          </w:p>
        </w:tc>
        <w:tc>
          <w:tcPr>
            <w:tcW w:w="1559" w:type="dxa"/>
            <w:tcBorders>
              <w:top w:val="single" w:sz="4" w:space="0" w:color="auto"/>
              <w:bottom w:val="single" w:sz="4" w:space="0" w:color="auto"/>
            </w:tcBorders>
            <w:tcMar>
              <w:top w:w="100" w:type="dxa"/>
              <w:left w:w="100" w:type="dxa"/>
              <w:bottom w:w="100" w:type="dxa"/>
              <w:right w:w="100" w:type="dxa"/>
            </w:tcMar>
            <w:vAlign w:val="center"/>
            <w:hideMark/>
          </w:tcPr>
          <w:p w14:paraId="3751BEAB" w14:textId="77777777" w:rsidR="00FD5AFA" w:rsidRDefault="00D80E31" w:rsidP="00505BE8">
            <w:pPr>
              <w:spacing w:line="276" w:lineRule="auto"/>
              <w:jc w:val="center"/>
              <w:rPr>
                <w:rFonts w:eastAsia="Times New Roman"/>
                <w:color w:val="000000"/>
              </w:rPr>
            </w:pPr>
            <w:r w:rsidRPr="007B54F2">
              <w:rPr>
                <w:rFonts w:eastAsia="Times New Roman"/>
                <w:color w:val="000000"/>
              </w:rPr>
              <w:t>P value</w:t>
            </w:r>
          </w:p>
          <w:p w14:paraId="7445B43F" w14:textId="560C685B" w:rsidR="00D80E31" w:rsidRPr="007B54F2" w:rsidRDefault="00D80E31" w:rsidP="00505BE8">
            <w:pPr>
              <w:spacing w:line="276" w:lineRule="auto"/>
              <w:jc w:val="center"/>
              <w:rPr>
                <w:rFonts w:eastAsia="Times New Roman"/>
              </w:rPr>
            </w:pPr>
            <w:r w:rsidRPr="007B54F2">
              <w:rPr>
                <w:rFonts w:eastAsia="Times New Roman"/>
                <w:color w:val="000000"/>
              </w:rPr>
              <w:t>(Chi Square)</w:t>
            </w:r>
          </w:p>
        </w:tc>
        <w:tc>
          <w:tcPr>
            <w:tcW w:w="2069" w:type="dxa"/>
            <w:tcBorders>
              <w:top w:val="single" w:sz="4" w:space="0" w:color="auto"/>
              <w:bottom w:val="single" w:sz="4" w:space="0" w:color="auto"/>
            </w:tcBorders>
            <w:tcMar>
              <w:top w:w="100" w:type="dxa"/>
              <w:left w:w="100" w:type="dxa"/>
              <w:bottom w:w="100" w:type="dxa"/>
              <w:right w:w="100" w:type="dxa"/>
            </w:tcMar>
            <w:vAlign w:val="center"/>
            <w:hideMark/>
          </w:tcPr>
          <w:p w14:paraId="3120CFFF" w14:textId="77777777" w:rsidR="00D80E31" w:rsidRPr="007B54F2" w:rsidRDefault="00D80E31" w:rsidP="00505BE8">
            <w:pPr>
              <w:spacing w:line="276" w:lineRule="auto"/>
              <w:jc w:val="center"/>
              <w:rPr>
                <w:rFonts w:eastAsia="Times New Roman"/>
              </w:rPr>
            </w:pPr>
            <w:r w:rsidRPr="007B54F2">
              <w:rPr>
                <w:rFonts w:eastAsia="Times New Roman"/>
                <w:color w:val="000000"/>
              </w:rPr>
              <w:t>Accepted/Rejected</w:t>
            </w:r>
          </w:p>
        </w:tc>
      </w:tr>
      <w:tr w:rsidR="00D80E31" w:rsidRPr="007B54F2" w14:paraId="4500BFE5" w14:textId="77777777" w:rsidTr="00FD5AFA">
        <w:trPr>
          <w:trHeight w:val="680"/>
        </w:trPr>
        <w:tc>
          <w:tcPr>
            <w:tcW w:w="942" w:type="dxa"/>
            <w:tcBorders>
              <w:top w:val="single" w:sz="4" w:space="0" w:color="auto"/>
            </w:tcBorders>
            <w:tcMar>
              <w:top w:w="100" w:type="dxa"/>
              <w:left w:w="100" w:type="dxa"/>
              <w:bottom w:w="100" w:type="dxa"/>
              <w:right w:w="100" w:type="dxa"/>
            </w:tcMar>
            <w:vAlign w:val="center"/>
            <w:hideMark/>
          </w:tcPr>
          <w:p w14:paraId="4A65963D" w14:textId="50CA62EE" w:rsidR="00D80E31" w:rsidRPr="007B54F2" w:rsidRDefault="00D80E31" w:rsidP="00505BE8">
            <w:pPr>
              <w:spacing w:line="276" w:lineRule="auto"/>
              <w:jc w:val="center"/>
              <w:rPr>
                <w:rFonts w:eastAsia="Times New Roman"/>
              </w:rPr>
            </w:pPr>
            <w:r w:rsidRPr="007B54F2">
              <w:rPr>
                <w:rFonts w:ascii="Times" w:eastAsia="Times New Roman" w:hAnsi="Times" w:cs="Times"/>
                <w:color w:val="000000"/>
              </w:rPr>
              <w:t>1</w:t>
            </w:r>
          </w:p>
        </w:tc>
        <w:tc>
          <w:tcPr>
            <w:tcW w:w="3878" w:type="dxa"/>
            <w:tcBorders>
              <w:top w:val="single" w:sz="4" w:space="0" w:color="auto"/>
            </w:tcBorders>
            <w:tcMar>
              <w:top w:w="100" w:type="dxa"/>
              <w:left w:w="100" w:type="dxa"/>
              <w:bottom w:w="100" w:type="dxa"/>
              <w:right w:w="100" w:type="dxa"/>
            </w:tcMar>
            <w:hideMark/>
          </w:tcPr>
          <w:p w14:paraId="36417927" w14:textId="77777777" w:rsidR="00D80E31" w:rsidRPr="007B54F2" w:rsidRDefault="00D80E31" w:rsidP="00505BE8">
            <w:pPr>
              <w:spacing w:line="276" w:lineRule="auto"/>
              <w:rPr>
                <w:rFonts w:eastAsia="Times New Roman"/>
              </w:rPr>
            </w:pPr>
            <w:r w:rsidRPr="007B54F2">
              <w:rPr>
                <w:rFonts w:ascii="Times" w:eastAsia="Times New Roman" w:hAnsi="Times" w:cs="Times"/>
                <w:color w:val="000000"/>
              </w:rPr>
              <w:t>There is significant association between Brand Engagement and Gender</w:t>
            </w:r>
          </w:p>
        </w:tc>
        <w:tc>
          <w:tcPr>
            <w:tcW w:w="1559" w:type="dxa"/>
            <w:tcBorders>
              <w:top w:val="single" w:sz="4" w:space="0" w:color="auto"/>
            </w:tcBorders>
            <w:tcMar>
              <w:top w:w="100" w:type="dxa"/>
              <w:left w:w="100" w:type="dxa"/>
              <w:bottom w:w="100" w:type="dxa"/>
              <w:right w:w="100" w:type="dxa"/>
            </w:tcMar>
            <w:vAlign w:val="center"/>
            <w:hideMark/>
          </w:tcPr>
          <w:p w14:paraId="08D1A297" w14:textId="77777777" w:rsidR="00D80E31" w:rsidRPr="007B54F2" w:rsidRDefault="00D80E31" w:rsidP="00505BE8">
            <w:pPr>
              <w:spacing w:line="276" w:lineRule="auto"/>
              <w:jc w:val="center"/>
              <w:rPr>
                <w:rFonts w:eastAsia="Times New Roman"/>
              </w:rPr>
            </w:pPr>
            <w:r w:rsidRPr="007B54F2">
              <w:rPr>
                <w:rFonts w:ascii="Times" w:eastAsia="Times New Roman" w:hAnsi="Times" w:cs="Times"/>
                <w:color w:val="000000"/>
              </w:rPr>
              <w:t>0.001</w:t>
            </w:r>
          </w:p>
        </w:tc>
        <w:tc>
          <w:tcPr>
            <w:tcW w:w="2069" w:type="dxa"/>
            <w:tcBorders>
              <w:top w:val="single" w:sz="4" w:space="0" w:color="auto"/>
            </w:tcBorders>
            <w:tcMar>
              <w:top w:w="100" w:type="dxa"/>
              <w:left w:w="100" w:type="dxa"/>
              <w:bottom w:w="100" w:type="dxa"/>
              <w:right w:w="100" w:type="dxa"/>
            </w:tcMar>
            <w:vAlign w:val="center"/>
            <w:hideMark/>
          </w:tcPr>
          <w:p w14:paraId="6D573107" w14:textId="77777777" w:rsidR="00D80E31" w:rsidRPr="007B54F2" w:rsidRDefault="00D80E31" w:rsidP="00505BE8">
            <w:pPr>
              <w:spacing w:line="276" w:lineRule="auto"/>
              <w:jc w:val="center"/>
              <w:rPr>
                <w:rFonts w:eastAsia="Times New Roman"/>
              </w:rPr>
            </w:pPr>
            <w:r w:rsidRPr="007B54F2">
              <w:rPr>
                <w:rFonts w:ascii="Times" w:eastAsia="Times New Roman" w:hAnsi="Times" w:cs="Times"/>
                <w:color w:val="000000"/>
              </w:rPr>
              <w:t>Accepted</w:t>
            </w:r>
          </w:p>
        </w:tc>
      </w:tr>
      <w:tr w:rsidR="00D80E31" w:rsidRPr="007B54F2" w14:paraId="595152D8" w14:textId="77777777" w:rsidTr="00FD5AFA">
        <w:trPr>
          <w:trHeight w:val="680"/>
        </w:trPr>
        <w:tc>
          <w:tcPr>
            <w:tcW w:w="942" w:type="dxa"/>
            <w:tcMar>
              <w:top w:w="100" w:type="dxa"/>
              <w:left w:w="100" w:type="dxa"/>
              <w:bottom w:w="100" w:type="dxa"/>
              <w:right w:w="100" w:type="dxa"/>
            </w:tcMar>
            <w:vAlign w:val="center"/>
            <w:hideMark/>
          </w:tcPr>
          <w:p w14:paraId="48CE92D3" w14:textId="7F422CFB" w:rsidR="00D80E31" w:rsidRPr="007B54F2" w:rsidRDefault="00D80E31" w:rsidP="00505BE8">
            <w:pPr>
              <w:spacing w:line="276" w:lineRule="auto"/>
              <w:jc w:val="center"/>
              <w:rPr>
                <w:rFonts w:eastAsia="Times New Roman"/>
              </w:rPr>
            </w:pPr>
            <w:r w:rsidRPr="007B54F2">
              <w:rPr>
                <w:rFonts w:ascii="Times" w:eastAsia="Times New Roman" w:hAnsi="Times" w:cs="Times"/>
                <w:color w:val="000000"/>
              </w:rPr>
              <w:t>2</w:t>
            </w:r>
          </w:p>
        </w:tc>
        <w:tc>
          <w:tcPr>
            <w:tcW w:w="3878" w:type="dxa"/>
            <w:tcMar>
              <w:top w:w="100" w:type="dxa"/>
              <w:left w:w="100" w:type="dxa"/>
              <w:bottom w:w="100" w:type="dxa"/>
              <w:right w:w="100" w:type="dxa"/>
            </w:tcMar>
            <w:hideMark/>
          </w:tcPr>
          <w:p w14:paraId="37E3924D" w14:textId="77777777" w:rsidR="00D80E31" w:rsidRPr="007B54F2" w:rsidRDefault="00D80E31" w:rsidP="00505BE8">
            <w:pPr>
              <w:spacing w:line="276" w:lineRule="auto"/>
              <w:rPr>
                <w:rFonts w:eastAsia="Times New Roman"/>
              </w:rPr>
            </w:pPr>
            <w:r w:rsidRPr="007B54F2">
              <w:rPr>
                <w:rFonts w:ascii="Times" w:eastAsia="Times New Roman" w:hAnsi="Times" w:cs="Times"/>
                <w:color w:val="000000"/>
              </w:rPr>
              <w:t>There is significant association between Brand Engagement and Age.</w:t>
            </w:r>
          </w:p>
        </w:tc>
        <w:tc>
          <w:tcPr>
            <w:tcW w:w="1559" w:type="dxa"/>
            <w:tcMar>
              <w:top w:w="100" w:type="dxa"/>
              <w:left w:w="100" w:type="dxa"/>
              <w:bottom w:w="100" w:type="dxa"/>
              <w:right w:w="100" w:type="dxa"/>
            </w:tcMar>
            <w:vAlign w:val="center"/>
            <w:hideMark/>
          </w:tcPr>
          <w:p w14:paraId="30707229" w14:textId="77777777" w:rsidR="00D80E31" w:rsidRPr="007B54F2" w:rsidRDefault="00D80E31" w:rsidP="00505BE8">
            <w:pPr>
              <w:spacing w:line="276" w:lineRule="auto"/>
              <w:jc w:val="center"/>
              <w:rPr>
                <w:rFonts w:eastAsia="Times New Roman"/>
              </w:rPr>
            </w:pPr>
            <w:r w:rsidRPr="007B54F2">
              <w:rPr>
                <w:rFonts w:ascii="Times" w:eastAsia="Times New Roman" w:hAnsi="Times" w:cs="Times"/>
                <w:color w:val="000000"/>
              </w:rPr>
              <w:t>0.048</w:t>
            </w:r>
          </w:p>
        </w:tc>
        <w:tc>
          <w:tcPr>
            <w:tcW w:w="2069" w:type="dxa"/>
            <w:tcMar>
              <w:top w:w="100" w:type="dxa"/>
              <w:left w:w="100" w:type="dxa"/>
              <w:bottom w:w="100" w:type="dxa"/>
              <w:right w:w="100" w:type="dxa"/>
            </w:tcMar>
            <w:vAlign w:val="center"/>
            <w:hideMark/>
          </w:tcPr>
          <w:p w14:paraId="64D84EBB" w14:textId="77777777" w:rsidR="00D80E31" w:rsidRPr="007B54F2" w:rsidRDefault="00D80E31" w:rsidP="00505BE8">
            <w:pPr>
              <w:spacing w:line="276" w:lineRule="auto"/>
              <w:jc w:val="center"/>
              <w:rPr>
                <w:rFonts w:eastAsia="Times New Roman"/>
              </w:rPr>
            </w:pPr>
            <w:r w:rsidRPr="007B54F2">
              <w:rPr>
                <w:rFonts w:ascii="Times" w:eastAsia="Times New Roman" w:hAnsi="Times" w:cs="Times"/>
                <w:color w:val="000000"/>
              </w:rPr>
              <w:t>Accepted</w:t>
            </w:r>
          </w:p>
        </w:tc>
      </w:tr>
      <w:tr w:rsidR="00D80E31" w:rsidRPr="007B54F2" w14:paraId="3E998D02" w14:textId="77777777" w:rsidTr="00FD5AFA">
        <w:trPr>
          <w:trHeight w:val="680"/>
        </w:trPr>
        <w:tc>
          <w:tcPr>
            <w:tcW w:w="942" w:type="dxa"/>
            <w:tcMar>
              <w:top w:w="100" w:type="dxa"/>
              <w:left w:w="100" w:type="dxa"/>
              <w:bottom w:w="100" w:type="dxa"/>
              <w:right w:w="100" w:type="dxa"/>
            </w:tcMar>
            <w:vAlign w:val="center"/>
            <w:hideMark/>
          </w:tcPr>
          <w:p w14:paraId="1FE40C6D" w14:textId="28C4A84C" w:rsidR="00D80E31" w:rsidRPr="007B54F2" w:rsidRDefault="00D80E31" w:rsidP="00505BE8">
            <w:pPr>
              <w:spacing w:line="276" w:lineRule="auto"/>
              <w:jc w:val="center"/>
              <w:rPr>
                <w:rFonts w:eastAsia="Times New Roman"/>
              </w:rPr>
            </w:pPr>
            <w:r w:rsidRPr="007B54F2">
              <w:rPr>
                <w:rFonts w:ascii="Times" w:eastAsia="Times New Roman" w:hAnsi="Times" w:cs="Times"/>
                <w:color w:val="000000"/>
              </w:rPr>
              <w:t>3</w:t>
            </w:r>
          </w:p>
        </w:tc>
        <w:tc>
          <w:tcPr>
            <w:tcW w:w="3878" w:type="dxa"/>
            <w:tcMar>
              <w:top w:w="100" w:type="dxa"/>
              <w:left w:w="100" w:type="dxa"/>
              <w:bottom w:w="100" w:type="dxa"/>
              <w:right w:w="100" w:type="dxa"/>
            </w:tcMar>
            <w:hideMark/>
          </w:tcPr>
          <w:p w14:paraId="0ABD70EA" w14:textId="77777777" w:rsidR="00D80E31" w:rsidRPr="007B54F2" w:rsidRDefault="00D80E31" w:rsidP="00505BE8">
            <w:pPr>
              <w:spacing w:line="276" w:lineRule="auto"/>
              <w:rPr>
                <w:rFonts w:eastAsia="Times New Roman"/>
              </w:rPr>
            </w:pPr>
            <w:r w:rsidRPr="007B54F2">
              <w:rPr>
                <w:rFonts w:ascii="Times" w:eastAsia="Times New Roman" w:hAnsi="Times" w:cs="Times"/>
                <w:color w:val="000000"/>
              </w:rPr>
              <w:t>There is significant association between Emotional Contagion and Age</w:t>
            </w:r>
          </w:p>
        </w:tc>
        <w:tc>
          <w:tcPr>
            <w:tcW w:w="1559" w:type="dxa"/>
            <w:tcMar>
              <w:top w:w="100" w:type="dxa"/>
              <w:left w:w="100" w:type="dxa"/>
              <w:bottom w:w="100" w:type="dxa"/>
              <w:right w:w="100" w:type="dxa"/>
            </w:tcMar>
            <w:vAlign w:val="center"/>
            <w:hideMark/>
          </w:tcPr>
          <w:p w14:paraId="20A18725" w14:textId="77777777" w:rsidR="00D80E31" w:rsidRPr="007B54F2" w:rsidRDefault="00D80E31" w:rsidP="00505BE8">
            <w:pPr>
              <w:spacing w:line="276" w:lineRule="auto"/>
              <w:jc w:val="center"/>
              <w:rPr>
                <w:rFonts w:eastAsia="Times New Roman"/>
              </w:rPr>
            </w:pPr>
            <w:r w:rsidRPr="007B54F2">
              <w:rPr>
                <w:rFonts w:ascii="Times" w:eastAsia="Times New Roman" w:hAnsi="Times" w:cs="Times"/>
                <w:color w:val="000000"/>
              </w:rPr>
              <w:t>0.008</w:t>
            </w:r>
          </w:p>
        </w:tc>
        <w:tc>
          <w:tcPr>
            <w:tcW w:w="2069" w:type="dxa"/>
            <w:tcMar>
              <w:top w:w="100" w:type="dxa"/>
              <w:left w:w="100" w:type="dxa"/>
              <w:bottom w:w="100" w:type="dxa"/>
              <w:right w:w="100" w:type="dxa"/>
            </w:tcMar>
            <w:vAlign w:val="center"/>
            <w:hideMark/>
          </w:tcPr>
          <w:p w14:paraId="6FCA4A84" w14:textId="77777777" w:rsidR="00D80E31" w:rsidRPr="007B54F2" w:rsidRDefault="00D80E31" w:rsidP="00505BE8">
            <w:pPr>
              <w:spacing w:line="276" w:lineRule="auto"/>
              <w:jc w:val="center"/>
              <w:rPr>
                <w:rFonts w:eastAsia="Times New Roman"/>
              </w:rPr>
            </w:pPr>
            <w:r w:rsidRPr="007B54F2">
              <w:rPr>
                <w:rFonts w:ascii="Times" w:eastAsia="Times New Roman" w:hAnsi="Times" w:cs="Times"/>
                <w:color w:val="000000"/>
              </w:rPr>
              <w:t>Accepted</w:t>
            </w:r>
          </w:p>
        </w:tc>
      </w:tr>
      <w:tr w:rsidR="00D80E31" w:rsidRPr="007B54F2" w14:paraId="03A1E02C" w14:textId="77777777" w:rsidTr="00FD5AFA">
        <w:trPr>
          <w:trHeight w:val="680"/>
        </w:trPr>
        <w:tc>
          <w:tcPr>
            <w:tcW w:w="942" w:type="dxa"/>
            <w:tcBorders>
              <w:bottom w:val="single" w:sz="4" w:space="0" w:color="auto"/>
            </w:tcBorders>
            <w:tcMar>
              <w:top w:w="100" w:type="dxa"/>
              <w:left w:w="100" w:type="dxa"/>
              <w:bottom w:w="100" w:type="dxa"/>
              <w:right w:w="100" w:type="dxa"/>
            </w:tcMar>
            <w:vAlign w:val="center"/>
            <w:hideMark/>
          </w:tcPr>
          <w:p w14:paraId="23C364AA" w14:textId="1B79430E" w:rsidR="00D80E31" w:rsidRPr="007B54F2" w:rsidRDefault="00D80E31" w:rsidP="00505BE8">
            <w:pPr>
              <w:spacing w:line="276" w:lineRule="auto"/>
              <w:jc w:val="center"/>
              <w:rPr>
                <w:rFonts w:eastAsia="Times New Roman"/>
              </w:rPr>
            </w:pPr>
            <w:r w:rsidRPr="007B54F2">
              <w:rPr>
                <w:rFonts w:ascii="Times" w:eastAsia="Times New Roman" w:hAnsi="Times" w:cs="Times"/>
                <w:color w:val="000000"/>
              </w:rPr>
              <w:t>4</w:t>
            </w:r>
          </w:p>
        </w:tc>
        <w:tc>
          <w:tcPr>
            <w:tcW w:w="3878" w:type="dxa"/>
            <w:tcBorders>
              <w:bottom w:val="single" w:sz="4" w:space="0" w:color="auto"/>
            </w:tcBorders>
            <w:tcMar>
              <w:top w:w="100" w:type="dxa"/>
              <w:left w:w="100" w:type="dxa"/>
              <w:bottom w:w="100" w:type="dxa"/>
              <w:right w:w="100" w:type="dxa"/>
            </w:tcMar>
            <w:hideMark/>
          </w:tcPr>
          <w:p w14:paraId="19F9868E" w14:textId="77777777" w:rsidR="00D80E31" w:rsidRPr="007B54F2" w:rsidRDefault="00D80E31" w:rsidP="00505BE8">
            <w:pPr>
              <w:spacing w:line="276" w:lineRule="auto"/>
              <w:rPr>
                <w:rFonts w:eastAsia="Times New Roman"/>
              </w:rPr>
            </w:pPr>
            <w:r w:rsidRPr="007B54F2">
              <w:rPr>
                <w:rFonts w:ascii="Times" w:eastAsia="Times New Roman" w:hAnsi="Times" w:cs="Times"/>
                <w:color w:val="000000"/>
              </w:rPr>
              <w:t>There is significant association between Emotional Contagion and Education</w:t>
            </w:r>
          </w:p>
        </w:tc>
        <w:tc>
          <w:tcPr>
            <w:tcW w:w="1559" w:type="dxa"/>
            <w:tcBorders>
              <w:bottom w:val="single" w:sz="4" w:space="0" w:color="auto"/>
            </w:tcBorders>
            <w:tcMar>
              <w:top w:w="100" w:type="dxa"/>
              <w:left w:w="100" w:type="dxa"/>
              <w:bottom w:w="100" w:type="dxa"/>
              <w:right w:w="100" w:type="dxa"/>
            </w:tcMar>
            <w:vAlign w:val="center"/>
            <w:hideMark/>
          </w:tcPr>
          <w:p w14:paraId="14ABC34A" w14:textId="77777777" w:rsidR="00D80E31" w:rsidRPr="007B54F2" w:rsidRDefault="00D80E31" w:rsidP="00505BE8">
            <w:pPr>
              <w:spacing w:line="276" w:lineRule="auto"/>
              <w:jc w:val="center"/>
              <w:rPr>
                <w:rFonts w:eastAsia="Times New Roman"/>
              </w:rPr>
            </w:pPr>
            <w:r w:rsidRPr="007B54F2">
              <w:rPr>
                <w:rFonts w:ascii="Times" w:eastAsia="Times New Roman" w:hAnsi="Times" w:cs="Times"/>
                <w:color w:val="000000"/>
              </w:rPr>
              <w:t>0.880</w:t>
            </w:r>
          </w:p>
        </w:tc>
        <w:tc>
          <w:tcPr>
            <w:tcW w:w="2069" w:type="dxa"/>
            <w:tcBorders>
              <w:bottom w:val="single" w:sz="4" w:space="0" w:color="auto"/>
            </w:tcBorders>
            <w:tcMar>
              <w:top w:w="100" w:type="dxa"/>
              <w:left w:w="100" w:type="dxa"/>
              <w:bottom w:w="100" w:type="dxa"/>
              <w:right w:w="100" w:type="dxa"/>
            </w:tcMar>
            <w:vAlign w:val="center"/>
            <w:hideMark/>
          </w:tcPr>
          <w:p w14:paraId="4F2775C2" w14:textId="298E594C" w:rsidR="008E6E82" w:rsidRPr="00FD5AFA" w:rsidRDefault="00D80E31" w:rsidP="00505BE8">
            <w:pPr>
              <w:spacing w:line="276" w:lineRule="auto"/>
              <w:jc w:val="center"/>
              <w:rPr>
                <w:rFonts w:ascii="Times" w:eastAsiaTheme="minorEastAsia" w:hAnsi="Times" w:cs="Times"/>
                <w:color w:val="000000"/>
              </w:rPr>
            </w:pPr>
            <w:r w:rsidRPr="007B54F2">
              <w:rPr>
                <w:rFonts w:ascii="Times" w:eastAsia="Times New Roman" w:hAnsi="Times" w:cs="Times"/>
                <w:color w:val="000000"/>
              </w:rPr>
              <w:t>Rejected</w:t>
            </w:r>
          </w:p>
          <w:p w14:paraId="1C6FAF39" w14:textId="3BE8057E" w:rsidR="008E6E82" w:rsidRPr="007B54F2" w:rsidRDefault="008E6E82" w:rsidP="00505BE8">
            <w:pPr>
              <w:spacing w:line="276" w:lineRule="auto"/>
              <w:jc w:val="center"/>
              <w:rPr>
                <w:rFonts w:eastAsia="Times New Roman"/>
              </w:rPr>
            </w:pPr>
          </w:p>
        </w:tc>
      </w:tr>
    </w:tbl>
    <w:p w14:paraId="22182BE7" w14:textId="1388C1E6" w:rsidR="00505BE8" w:rsidRDefault="008E6E82" w:rsidP="00505BE8">
      <w:pPr>
        <w:pStyle w:val="Web"/>
        <w:snapToGrid w:val="0"/>
        <w:spacing w:beforeLines="50" w:before="180" w:beforeAutospacing="0" w:after="0" w:afterAutospacing="0" w:line="276" w:lineRule="auto"/>
        <w:ind w:firstLineChars="200" w:firstLine="480"/>
        <w:jc w:val="both"/>
        <w:textAlignment w:val="top"/>
        <w:rPr>
          <w:rFonts w:ascii="Times New Roman" w:hAnsi="Times New Roman" w:cs="Times New Roman"/>
          <w:szCs w:val="20"/>
        </w:rPr>
      </w:pPr>
      <w:r w:rsidRPr="008E6E82">
        <w:rPr>
          <w:rFonts w:ascii="Times New Roman" w:hAnsi="Times New Roman" w:cs="Times New Roman"/>
          <w:szCs w:val="20"/>
        </w:rPr>
        <w:t>The present study attempts to analyse the influence of emotional contagion on customer attitude and brand engagement. Audio content, visual content</w:t>
      </w:r>
      <w:r w:rsidR="00577CA9">
        <w:rPr>
          <w:rFonts w:ascii="Times New Roman" w:hAnsi="Times New Roman" w:cs="Times New Roman"/>
          <w:szCs w:val="20"/>
        </w:rPr>
        <w:t>,</w:t>
      </w:r>
      <w:r w:rsidRPr="008E6E82">
        <w:rPr>
          <w:rFonts w:ascii="Times New Roman" w:hAnsi="Times New Roman" w:cs="Times New Roman"/>
          <w:szCs w:val="20"/>
        </w:rPr>
        <w:t xml:space="preserve"> and text content are major antecedents of emotional contagion</w:t>
      </w:r>
      <w:r w:rsidR="00577CA9">
        <w:rPr>
          <w:rFonts w:ascii="Times New Roman" w:hAnsi="Times New Roman" w:cs="Times New Roman"/>
          <w:szCs w:val="20"/>
        </w:rPr>
        <w:t>,</w:t>
      </w:r>
      <w:r w:rsidRPr="008E6E82">
        <w:rPr>
          <w:rFonts w:ascii="Times New Roman" w:hAnsi="Times New Roman" w:cs="Times New Roman"/>
          <w:szCs w:val="20"/>
        </w:rPr>
        <w:t xml:space="preserve"> and the regression analysis was done to analy</w:t>
      </w:r>
      <w:r w:rsidR="00577CA9">
        <w:rPr>
          <w:rFonts w:ascii="Times New Roman" w:hAnsi="Times New Roman" w:cs="Times New Roman"/>
          <w:szCs w:val="20"/>
        </w:rPr>
        <w:t>z</w:t>
      </w:r>
      <w:r w:rsidRPr="008E6E82">
        <w:rPr>
          <w:rFonts w:ascii="Times New Roman" w:hAnsi="Times New Roman" w:cs="Times New Roman"/>
          <w:szCs w:val="20"/>
        </w:rPr>
        <w:t>e the data.</w:t>
      </w:r>
    </w:p>
    <w:p w14:paraId="1CCD858A" w14:textId="4686570E" w:rsidR="00505BE8" w:rsidRPr="00505BE8" w:rsidRDefault="00505BE8" w:rsidP="00505BE8">
      <w:pPr>
        <w:widowControl/>
        <w:rPr>
          <w:rFonts w:eastAsia="Arial Unicode MS"/>
          <w:kern w:val="0"/>
          <w:szCs w:val="20"/>
        </w:rPr>
      </w:pPr>
      <w:r>
        <w:rPr>
          <w:szCs w:val="20"/>
        </w:rPr>
        <w:br w:type="page"/>
      </w:r>
    </w:p>
    <w:p w14:paraId="7DB6BD7C" w14:textId="6349D25D" w:rsidR="008E6E82" w:rsidRPr="00FD5AFA" w:rsidRDefault="008E6E82" w:rsidP="00505BE8">
      <w:pPr>
        <w:widowControl/>
        <w:adjustRightInd w:val="0"/>
        <w:snapToGrid w:val="0"/>
        <w:spacing w:beforeLines="50" w:before="180" w:line="276" w:lineRule="auto"/>
        <w:jc w:val="center"/>
        <w:rPr>
          <w:rFonts w:eastAsia="Times New Roman"/>
          <w:color w:val="000000"/>
        </w:rPr>
      </w:pPr>
      <w:r w:rsidRPr="00920173">
        <w:rPr>
          <w:b/>
          <w:lang w:eastAsia="en-CA"/>
        </w:rPr>
        <w:lastRenderedPageBreak/>
        <w:t xml:space="preserve">Table </w:t>
      </w:r>
      <w:r>
        <w:rPr>
          <w:b/>
          <w:lang w:eastAsia="en-CA"/>
        </w:rPr>
        <w:t>2</w:t>
      </w:r>
      <w:r w:rsidRPr="00920173">
        <w:rPr>
          <w:lang w:eastAsia="en-CA"/>
        </w:rPr>
        <w:t xml:space="preserve">. </w:t>
      </w:r>
      <w:r w:rsidRPr="00FD5AFA">
        <w:rPr>
          <w:rFonts w:eastAsia="Times New Roman"/>
          <w:color w:val="000000"/>
        </w:rPr>
        <w:t>Results of Hypotheses Testing – Regression</w:t>
      </w:r>
    </w:p>
    <w:tbl>
      <w:tblPr>
        <w:tblW w:w="0" w:type="auto"/>
        <w:jc w:val="center"/>
        <w:tblLook w:val="0400" w:firstRow="0" w:lastRow="0" w:firstColumn="0" w:lastColumn="0" w:noHBand="0" w:noVBand="1"/>
      </w:tblPr>
      <w:tblGrid>
        <w:gridCol w:w="4180"/>
        <w:gridCol w:w="1243"/>
        <w:gridCol w:w="920"/>
        <w:gridCol w:w="826"/>
        <w:gridCol w:w="1137"/>
      </w:tblGrid>
      <w:tr w:rsidR="008E6E82" w14:paraId="25F18D83" w14:textId="77777777" w:rsidTr="00505BE8">
        <w:trPr>
          <w:trHeight w:val="319"/>
          <w:jc w:val="center"/>
        </w:trPr>
        <w:tc>
          <w:tcPr>
            <w:tcW w:w="4395" w:type="dxa"/>
            <w:tcBorders>
              <w:top w:val="single" w:sz="4" w:space="0" w:color="auto"/>
              <w:bottom w:val="single" w:sz="4" w:space="0" w:color="auto"/>
            </w:tcBorders>
            <w:tcMar>
              <w:top w:w="0" w:type="dxa"/>
              <w:left w:w="115" w:type="dxa"/>
              <w:bottom w:w="0" w:type="dxa"/>
              <w:right w:w="115" w:type="dxa"/>
            </w:tcMar>
            <w:vAlign w:val="center"/>
          </w:tcPr>
          <w:p w14:paraId="2A636D6C" w14:textId="77777777" w:rsidR="008E6E82" w:rsidRDefault="008E6E82" w:rsidP="00505BE8">
            <w:pPr>
              <w:spacing w:line="276" w:lineRule="auto"/>
              <w:jc w:val="center"/>
              <w:rPr>
                <w:rFonts w:eastAsia="Times New Roman"/>
              </w:rPr>
            </w:pPr>
            <w:r>
              <w:rPr>
                <w:rFonts w:eastAsia="Times New Roman"/>
                <w:b/>
                <w:color w:val="000000"/>
              </w:rPr>
              <w:t>Alternate Hypothesis</w:t>
            </w:r>
          </w:p>
        </w:tc>
        <w:tc>
          <w:tcPr>
            <w:tcW w:w="1275" w:type="dxa"/>
            <w:tcBorders>
              <w:top w:val="single" w:sz="4" w:space="0" w:color="auto"/>
              <w:bottom w:val="single" w:sz="4" w:space="0" w:color="auto"/>
            </w:tcBorders>
            <w:tcMar>
              <w:top w:w="0" w:type="dxa"/>
              <w:left w:w="115" w:type="dxa"/>
              <w:bottom w:w="0" w:type="dxa"/>
              <w:right w:w="115" w:type="dxa"/>
            </w:tcMar>
            <w:vAlign w:val="center"/>
          </w:tcPr>
          <w:p w14:paraId="436991E4" w14:textId="77777777" w:rsidR="008E6E82" w:rsidRDefault="008E6E82" w:rsidP="00505BE8">
            <w:pPr>
              <w:spacing w:line="276" w:lineRule="auto"/>
              <w:jc w:val="center"/>
              <w:rPr>
                <w:rFonts w:eastAsia="Times New Roman"/>
              </w:rPr>
            </w:pPr>
            <w:r>
              <w:rPr>
                <w:rFonts w:eastAsia="Times New Roman"/>
                <w:b/>
                <w:color w:val="000000"/>
              </w:rPr>
              <w:t>Effect</w:t>
            </w:r>
          </w:p>
        </w:tc>
        <w:tc>
          <w:tcPr>
            <w:tcW w:w="0" w:type="auto"/>
            <w:tcBorders>
              <w:top w:val="single" w:sz="4" w:space="0" w:color="auto"/>
              <w:bottom w:val="single" w:sz="4" w:space="0" w:color="auto"/>
            </w:tcBorders>
            <w:tcMar>
              <w:top w:w="0" w:type="dxa"/>
              <w:left w:w="115" w:type="dxa"/>
              <w:bottom w:w="0" w:type="dxa"/>
              <w:right w:w="115" w:type="dxa"/>
            </w:tcMar>
            <w:vAlign w:val="center"/>
          </w:tcPr>
          <w:p w14:paraId="440EA082" w14:textId="77777777" w:rsidR="008E6E82" w:rsidRDefault="008E6E82" w:rsidP="00505BE8">
            <w:pPr>
              <w:spacing w:line="276" w:lineRule="auto"/>
              <w:jc w:val="center"/>
              <w:rPr>
                <w:rFonts w:eastAsia="Times New Roman"/>
              </w:rPr>
            </w:pPr>
            <w:r>
              <w:rPr>
                <w:rFonts w:eastAsia="Times New Roman"/>
                <w:b/>
                <w:color w:val="000000"/>
              </w:rPr>
              <w:t>R square</w:t>
            </w:r>
          </w:p>
        </w:tc>
        <w:tc>
          <w:tcPr>
            <w:tcW w:w="831" w:type="dxa"/>
            <w:tcBorders>
              <w:top w:val="single" w:sz="4" w:space="0" w:color="auto"/>
              <w:bottom w:val="single" w:sz="4" w:space="0" w:color="auto"/>
            </w:tcBorders>
            <w:tcMar>
              <w:top w:w="0" w:type="dxa"/>
              <w:left w:w="115" w:type="dxa"/>
              <w:bottom w:w="0" w:type="dxa"/>
              <w:right w:w="115" w:type="dxa"/>
            </w:tcMar>
            <w:vAlign w:val="center"/>
          </w:tcPr>
          <w:p w14:paraId="00307C6A" w14:textId="77777777" w:rsidR="008E6E82" w:rsidRDefault="008E6E82" w:rsidP="00505BE8">
            <w:pPr>
              <w:spacing w:line="276" w:lineRule="auto"/>
              <w:jc w:val="center"/>
              <w:rPr>
                <w:rFonts w:eastAsia="Times New Roman"/>
              </w:rPr>
            </w:pPr>
            <w:r>
              <w:rPr>
                <w:rFonts w:eastAsia="Times New Roman"/>
                <w:b/>
                <w:color w:val="000000"/>
              </w:rPr>
              <w:t>Sig.</w:t>
            </w:r>
          </w:p>
        </w:tc>
        <w:tc>
          <w:tcPr>
            <w:tcW w:w="1137" w:type="dxa"/>
            <w:tcBorders>
              <w:top w:val="single" w:sz="4" w:space="0" w:color="auto"/>
              <w:bottom w:val="single" w:sz="4" w:space="0" w:color="auto"/>
            </w:tcBorders>
            <w:tcMar>
              <w:top w:w="0" w:type="dxa"/>
              <w:left w:w="115" w:type="dxa"/>
              <w:bottom w:w="0" w:type="dxa"/>
              <w:right w:w="115" w:type="dxa"/>
            </w:tcMar>
            <w:vAlign w:val="center"/>
          </w:tcPr>
          <w:p w14:paraId="5F21922C" w14:textId="77777777" w:rsidR="008E6E82" w:rsidRDefault="008E6E82" w:rsidP="00505BE8">
            <w:pPr>
              <w:spacing w:line="276" w:lineRule="auto"/>
              <w:jc w:val="center"/>
              <w:rPr>
                <w:rFonts w:eastAsia="Times New Roman"/>
              </w:rPr>
            </w:pPr>
            <w:r>
              <w:rPr>
                <w:rFonts w:eastAsia="Times New Roman"/>
                <w:b/>
                <w:color w:val="000000"/>
              </w:rPr>
              <w:t>Decision</w:t>
            </w:r>
          </w:p>
        </w:tc>
      </w:tr>
      <w:tr w:rsidR="008E6E82" w14:paraId="5178C236" w14:textId="77777777" w:rsidTr="00505BE8">
        <w:trPr>
          <w:trHeight w:val="319"/>
          <w:jc w:val="center"/>
        </w:trPr>
        <w:tc>
          <w:tcPr>
            <w:tcW w:w="4395" w:type="dxa"/>
            <w:tcBorders>
              <w:top w:val="single" w:sz="4" w:space="0" w:color="auto"/>
            </w:tcBorders>
            <w:tcMar>
              <w:top w:w="0" w:type="dxa"/>
              <w:left w:w="115" w:type="dxa"/>
              <w:bottom w:w="0" w:type="dxa"/>
              <w:right w:w="115" w:type="dxa"/>
            </w:tcMar>
            <w:vAlign w:val="center"/>
          </w:tcPr>
          <w:p w14:paraId="3ECE8F31" w14:textId="77777777" w:rsidR="008E6E82" w:rsidRDefault="008E6E82" w:rsidP="00505BE8">
            <w:pPr>
              <w:jc w:val="both"/>
              <w:rPr>
                <w:rFonts w:eastAsia="Times New Roman"/>
              </w:rPr>
            </w:pPr>
            <w:r>
              <w:rPr>
                <w:rFonts w:eastAsia="Times New Roman"/>
                <w:color w:val="000000"/>
              </w:rPr>
              <w:t>H1a: There is a significant relation between Audio content and Emotional contagion.</w:t>
            </w:r>
          </w:p>
        </w:tc>
        <w:tc>
          <w:tcPr>
            <w:tcW w:w="1275" w:type="dxa"/>
            <w:tcBorders>
              <w:top w:val="single" w:sz="4" w:space="0" w:color="auto"/>
            </w:tcBorders>
            <w:tcMar>
              <w:top w:w="0" w:type="dxa"/>
              <w:left w:w="115" w:type="dxa"/>
              <w:bottom w:w="0" w:type="dxa"/>
              <w:right w:w="115" w:type="dxa"/>
            </w:tcMar>
            <w:vAlign w:val="center"/>
          </w:tcPr>
          <w:p w14:paraId="155811E9" w14:textId="77777777" w:rsidR="008E6E82" w:rsidRDefault="008E6E82" w:rsidP="00505BE8">
            <w:pPr>
              <w:spacing w:line="276" w:lineRule="auto"/>
              <w:jc w:val="center"/>
              <w:rPr>
                <w:rFonts w:eastAsia="Times New Roman"/>
              </w:rPr>
            </w:pPr>
            <w:r>
              <w:rPr>
                <w:rFonts w:eastAsia="Times New Roman"/>
                <w:color w:val="000000"/>
              </w:rPr>
              <w:t>AC--&gt;EC</w:t>
            </w:r>
          </w:p>
        </w:tc>
        <w:tc>
          <w:tcPr>
            <w:tcW w:w="0" w:type="auto"/>
            <w:tcBorders>
              <w:top w:val="single" w:sz="4" w:space="0" w:color="auto"/>
            </w:tcBorders>
            <w:tcMar>
              <w:top w:w="0" w:type="dxa"/>
              <w:left w:w="115" w:type="dxa"/>
              <w:bottom w:w="0" w:type="dxa"/>
              <w:right w:w="115" w:type="dxa"/>
            </w:tcMar>
            <w:vAlign w:val="center"/>
          </w:tcPr>
          <w:p w14:paraId="6EB3D994" w14:textId="77777777" w:rsidR="008E6E82" w:rsidRDefault="008E6E82" w:rsidP="00505BE8">
            <w:pPr>
              <w:spacing w:line="276" w:lineRule="auto"/>
              <w:jc w:val="center"/>
              <w:rPr>
                <w:rFonts w:eastAsia="Times New Roman"/>
              </w:rPr>
            </w:pPr>
            <w:r>
              <w:rPr>
                <w:rFonts w:eastAsia="Times New Roman"/>
                <w:color w:val="000000"/>
              </w:rPr>
              <w:t>0.7</w:t>
            </w:r>
          </w:p>
        </w:tc>
        <w:tc>
          <w:tcPr>
            <w:tcW w:w="831" w:type="dxa"/>
            <w:tcBorders>
              <w:top w:val="single" w:sz="4" w:space="0" w:color="auto"/>
            </w:tcBorders>
            <w:tcMar>
              <w:top w:w="0" w:type="dxa"/>
              <w:left w:w="115" w:type="dxa"/>
              <w:bottom w:w="0" w:type="dxa"/>
              <w:right w:w="115" w:type="dxa"/>
            </w:tcMar>
            <w:vAlign w:val="center"/>
          </w:tcPr>
          <w:p w14:paraId="04AEFCFA" w14:textId="77777777" w:rsidR="008E6E82" w:rsidRDefault="008E6E82" w:rsidP="00505BE8">
            <w:pPr>
              <w:spacing w:line="276" w:lineRule="auto"/>
              <w:jc w:val="center"/>
              <w:rPr>
                <w:rFonts w:eastAsia="Times New Roman"/>
              </w:rPr>
            </w:pPr>
            <w:r>
              <w:rPr>
                <w:rFonts w:eastAsia="Times New Roman"/>
                <w:color w:val="000000"/>
              </w:rPr>
              <w:t>0.118</w:t>
            </w:r>
          </w:p>
        </w:tc>
        <w:tc>
          <w:tcPr>
            <w:tcW w:w="1137" w:type="dxa"/>
            <w:tcBorders>
              <w:top w:val="single" w:sz="4" w:space="0" w:color="auto"/>
            </w:tcBorders>
            <w:tcMar>
              <w:top w:w="0" w:type="dxa"/>
              <w:left w:w="115" w:type="dxa"/>
              <w:bottom w:w="0" w:type="dxa"/>
              <w:right w:w="115" w:type="dxa"/>
            </w:tcMar>
            <w:vAlign w:val="center"/>
          </w:tcPr>
          <w:p w14:paraId="482BC030" w14:textId="77777777" w:rsidR="008E6E82" w:rsidRDefault="008E6E82" w:rsidP="00505BE8">
            <w:pPr>
              <w:spacing w:line="276" w:lineRule="auto"/>
              <w:jc w:val="center"/>
              <w:rPr>
                <w:rFonts w:eastAsia="Times New Roman"/>
              </w:rPr>
            </w:pPr>
            <w:r>
              <w:rPr>
                <w:rFonts w:eastAsia="Times New Roman"/>
                <w:color w:val="000000"/>
              </w:rPr>
              <w:t>Rejected</w:t>
            </w:r>
          </w:p>
        </w:tc>
      </w:tr>
      <w:tr w:rsidR="008E6E82" w14:paraId="48DCBF7D" w14:textId="77777777" w:rsidTr="00505BE8">
        <w:trPr>
          <w:trHeight w:val="319"/>
          <w:jc w:val="center"/>
        </w:trPr>
        <w:tc>
          <w:tcPr>
            <w:tcW w:w="4395" w:type="dxa"/>
            <w:tcMar>
              <w:top w:w="0" w:type="dxa"/>
              <w:left w:w="115" w:type="dxa"/>
              <w:bottom w:w="0" w:type="dxa"/>
              <w:right w:w="115" w:type="dxa"/>
            </w:tcMar>
            <w:vAlign w:val="center"/>
          </w:tcPr>
          <w:p w14:paraId="20BF641E" w14:textId="77777777" w:rsidR="008E6E82" w:rsidRDefault="008E6E82" w:rsidP="00505BE8">
            <w:pPr>
              <w:jc w:val="both"/>
              <w:rPr>
                <w:rFonts w:eastAsia="Times New Roman"/>
              </w:rPr>
            </w:pPr>
            <w:r>
              <w:rPr>
                <w:rFonts w:eastAsia="Times New Roman"/>
                <w:color w:val="000000"/>
              </w:rPr>
              <w:t xml:space="preserve">H1b: There is a significant relation between </w:t>
            </w:r>
            <w:r>
              <w:rPr>
                <w:rFonts w:eastAsia="Times New Roman"/>
              </w:rPr>
              <w:t>Word</w:t>
            </w:r>
            <w:r>
              <w:rPr>
                <w:rFonts w:eastAsia="Times New Roman"/>
                <w:color w:val="000000"/>
              </w:rPr>
              <w:t xml:space="preserve"> content and Emotional contagion.</w:t>
            </w:r>
          </w:p>
        </w:tc>
        <w:tc>
          <w:tcPr>
            <w:tcW w:w="1275" w:type="dxa"/>
            <w:tcMar>
              <w:top w:w="0" w:type="dxa"/>
              <w:left w:w="115" w:type="dxa"/>
              <w:bottom w:w="0" w:type="dxa"/>
              <w:right w:w="115" w:type="dxa"/>
            </w:tcMar>
            <w:vAlign w:val="center"/>
          </w:tcPr>
          <w:p w14:paraId="697085D9" w14:textId="77777777" w:rsidR="008E6E82" w:rsidRDefault="008E6E82" w:rsidP="00505BE8">
            <w:pPr>
              <w:spacing w:line="276" w:lineRule="auto"/>
              <w:jc w:val="center"/>
              <w:rPr>
                <w:rFonts w:eastAsia="Times New Roman"/>
              </w:rPr>
            </w:pPr>
            <w:r>
              <w:rPr>
                <w:rFonts w:eastAsia="Times New Roman"/>
              </w:rPr>
              <w:t>W</w:t>
            </w:r>
            <w:r>
              <w:rPr>
                <w:rFonts w:eastAsia="Times New Roman"/>
                <w:color w:val="000000"/>
              </w:rPr>
              <w:t>C--&gt;EC</w:t>
            </w:r>
          </w:p>
        </w:tc>
        <w:tc>
          <w:tcPr>
            <w:tcW w:w="0" w:type="auto"/>
            <w:tcMar>
              <w:top w:w="0" w:type="dxa"/>
              <w:left w:w="115" w:type="dxa"/>
              <w:bottom w:w="0" w:type="dxa"/>
              <w:right w:w="115" w:type="dxa"/>
            </w:tcMar>
            <w:vAlign w:val="center"/>
          </w:tcPr>
          <w:p w14:paraId="1CCBC374" w14:textId="77777777" w:rsidR="008E6E82" w:rsidRDefault="008E6E82" w:rsidP="00505BE8">
            <w:pPr>
              <w:spacing w:line="276" w:lineRule="auto"/>
              <w:jc w:val="center"/>
              <w:rPr>
                <w:rFonts w:eastAsia="Times New Roman"/>
              </w:rPr>
            </w:pPr>
            <w:r>
              <w:rPr>
                <w:rFonts w:eastAsia="Times New Roman"/>
                <w:color w:val="000000"/>
              </w:rPr>
              <w:t>0.094</w:t>
            </w:r>
          </w:p>
        </w:tc>
        <w:tc>
          <w:tcPr>
            <w:tcW w:w="831" w:type="dxa"/>
            <w:tcMar>
              <w:top w:w="0" w:type="dxa"/>
              <w:left w:w="115" w:type="dxa"/>
              <w:bottom w:w="0" w:type="dxa"/>
              <w:right w:w="115" w:type="dxa"/>
            </w:tcMar>
            <w:vAlign w:val="center"/>
          </w:tcPr>
          <w:p w14:paraId="50160903" w14:textId="77777777" w:rsidR="008E6E82" w:rsidRDefault="008E6E82" w:rsidP="00505BE8">
            <w:pPr>
              <w:spacing w:line="276" w:lineRule="auto"/>
              <w:jc w:val="center"/>
              <w:rPr>
                <w:rFonts w:eastAsia="Times New Roman"/>
              </w:rPr>
            </w:pPr>
            <w:r>
              <w:rPr>
                <w:rFonts w:eastAsia="Times New Roman"/>
                <w:color w:val="000000"/>
              </w:rPr>
              <w:t>0.223</w:t>
            </w:r>
          </w:p>
        </w:tc>
        <w:tc>
          <w:tcPr>
            <w:tcW w:w="1137" w:type="dxa"/>
            <w:tcMar>
              <w:top w:w="0" w:type="dxa"/>
              <w:left w:w="115" w:type="dxa"/>
              <w:bottom w:w="0" w:type="dxa"/>
              <w:right w:w="115" w:type="dxa"/>
            </w:tcMar>
            <w:vAlign w:val="center"/>
          </w:tcPr>
          <w:p w14:paraId="7864AA0D" w14:textId="77777777" w:rsidR="008E6E82" w:rsidRDefault="008E6E82" w:rsidP="00505BE8">
            <w:pPr>
              <w:spacing w:line="276" w:lineRule="auto"/>
              <w:jc w:val="center"/>
              <w:rPr>
                <w:rFonts w:eastAsia="Times New Roman"/>
              </w:rPr>
            </w:pPr>
            <w:r>
              <w:rPr>
                <w:rFonts w:eastAsia="Times New Roman"/>
                <w:color w:val="000000"/>
              </w:rPr>
              <w:t>Rejected</w:t>
            </w:r>
          </w:p>
        </w:tc>
      </w:tr>
      <w:tr w:rsidR="008E6E82" w14:paraId="41F0192B" w14:textId="77777777" w:rsidTr="00505BE8">
        <w:trPr>
          <w:trHeight w:val="319"/>
          <w:jc w:val="center"/>
        </w:trPr>
        <w:tc>
          <w:tcPr>
            <w:tcW w:w="4395" w:type="dxa"/>
            <w:tcBorders>
              <w:bottom w:val="single" w:sz="4" w:space="0" w:color="000000"/>
            </w:tcBorders>
            <w:tcMar>
              <w:top w:w="0" w:type="dxa"/>
              <w:left w:w="115" w:type="dxa"/>
              <w:bottom w:w="0" w:type="dxa"/>
              <w:right w:w="115" w:type="dxa"/>
            </w:tcMar>
            <w:vAlign w:val="center"/>
          </w:tcPr>
          <w:p w14:paraId="57AB0789" w14:textId="77777777" w:rsidR="008E6E82" w:rsidRDefault="008E6E82" w:rsidP="00505BE8">
            <w:pPr>
              <w:jc w:val="both"/>
              <w:rPr>
                <w:rFonts w:eastAsia="Times New Roman"/>
              </w:rPr>
            </w:pPr>
            <w:r>
              <w:rPr>
                <w:rFonts w:eastAsia="Times New Roman"/>
                <w:color w:val="000000"/>
              </w:rPr>
              <w:t>H1c: There is a significant relation between Visual content and Emotional contagion.</w:t>
            </w:r>
          </w:p>
        </w:tc>
        <w:tc>
          <w:tcPr>
            <w:tcW w:w="1275" w:type="dxa"/>
            <w:tcBorders>
              <w:bottom w:val="single" w:sz="4" w:space="0" w:color="000000"/>
            </w:tcBorders>
            <w:tcMar>
              <w:top w:w="0" w:type="dxa"/>
              <w:left w:w="115" w:type="dxa"/>
              <w:bottom w:w="0" w:type="dxa"/>
              <w:right w:w="115" w:type="dxa"/>
            </w:tcMar>
            <w:vAlign w:val="center"/>
          </w:tcPr>
          <w:p w14:paraId="574CE68A" w14:textId="77777777" w:rsidR="008E6E82" w:rsidRDefault="008E6E82" w:rsidP="00505BE8">
            <w:pPr>
              <w:spacing w:line="276" w:lineRule="auto"/>
              <w:jc w:val="center"/>
              <w:rPr>
                <w:rFonts w:eastAsia="Times New Roman"/>
              </w:rPr>
            </w:pPr>
            <w:r>
              <w:rPr>
                <w:rFonts w:eastAsia="Times New Roman"/>
                <w:color w:val="000000"/>
              </w:rPr>
              <w:t>VC--&gt;EC</w:t>
            </w:r>
          </w:p>
        </w:tc>
        <w:tc>
          <w:tcPr>
            <w:tcW w:w="0" w:type="auto"/>
            <w:tcBorders>
              <w:bottom w:val="single" w:sz="4" w:space="0" w:color="000000"/>
            </w:tcBorders>
            <w:tcMar>
              <w:top w:w="0" w:type="dxa"/>
              <w:left w:w="115" w:type="dxa"/>
              <w:bottom w:w="0" w:type="dxa"/>
              <w:right w:w="115" w:type="dxa"/>
            </w:tcMar>
            <w:vAlign w:val="center"/>
          </w:tcPr>
          <w:p w14:paraId="3C3518D2" w14:textId="77777777" w:rsidR="008E6E82" w:rsidRDefault="008E6E82" w:rsidP="00505BE8">
            <w:pPr>
              <w:spacing w:line="276" w:lineRule="auto"/>
              <w:jc w:val="center"/>
              <w:rPr>
                <w:rFonts w:eastAsia="Times New Roman"/>
              </w:rPr>
            </w:pPr>
            <w:r>
              <w:rPr>
                <w:rFonts w:eastAsia="Times New Roman"/>
                <w:color w:val="000000"/>
              </w:rPr>
              <w:t>0.275</w:t>
            </w:r>
          </w:p>
        </w:tc>
        <w:tc>
          <w:tcPr>
            <w:tcW w:w="831" w:type="dxa"/>
            <w:tcBorders>
              <w:bottom w:val="single" w:sz="4" w:space="0" w:color="000000"/>
            </w:tcBorders>
            <w:tcMar>
              <w:top w:w="0" w:type="dxa"/>
              <w:left w:w="115" w:type="dxa"/>
              <w:bottom w:w="0" w:type="dxa"/>
              <w:right w:w="115" w:type="dxa"/>
            </w:tcMar>
            <w:vAlign w:val="center"/>
          </w:tcPr>
          <w:p w14:paraId="5C05FE37" w14:textId="77777777" w:rsidR="008E6E82" w:rsidRDefault="008E6E82" w:rsidP="00505BE8">
            <w:pPr>
              <w:spacing w:line="276" w:lineRule="auto"/>
              <w:jc w:val="center"/>
              <w:rPr>
                <w:rFonts w:eastAsia="Times New Roman"/>
              </w:rPr>
            </w:pPr>
            <w:r>
              <w:rPr>
                <w:rFonts w:eastAsia="Times New Roman"/>
                <w:color w:val="000000"/>
              </w:rPr>
              <w:t>0.000</w:t>
            </w:r>
          </w:p>
        </w:tc>
        <w:tc>
          <w:tcPr>
            <w:tcW w:w="1137" w:type="dxa"/>
            <w:tcBorders>
              <w:bottom w:val="single" w:sz="4" w:space="0" w:color="000000"/>
            </w:tcBorders>
            <w:tcMar>
              <w:top w:w="0" w:type="dxa"/>
              <w:left w:w="115" w:type="dxa"/>
              <w:bottom w:w="0" w:type="dxa"/>
              <w:right w:w="115" w:type="dxa"/>
            </w:tcMar>
            <w:vAlign w:val="center"/>
          </w:tcPr>
          <w:p w14:paraId="6CF65A38" w14:textId="77777777" w:rsidR="008E6E82" w:rsidRDefault="008E6E82" w:rsidP="00505BE8">
            <w:pPr>
              <w:spacing w:line="276" w:lineRule="auto"/>
              <w:jc w:val="center"/>
              <w:rPr>
                <w:rFonts w:eastAsia="Times New Roman"/>
              </w:rPr>
            </w:pPr>
            <w:r>
              <w:rPr>
                <w:rFonts w:eastAsia="Times New Roman"/>
                <w:color w:val="000000"/>
              </w:rPr>
              <w:t>Accepted</w:t>
            </w:r>
          </w:p>
        </w:tc>
      </w:tr>
      <w:tr w:rsidR="008E6E82" w14:paraId="483C3107" w14:textId="77777777" w:rsidTr="00505BE8">
        <w:trPr>
          <w:trHeight w:val="319"/>
          <w:jc w:val="center"/>
        </w:trPr>
        <w:tc>
          <w:tcPr>
            <w:tcW w:w="4395" w:type="dxa"/>
            <w:tcBorders>
              <w:top w:val="single" w:sz="4" w:space="0" w:color="000000"/>
              <w:bottom w:val="single" w:sz="4" w:space="0" w:color="000000"/>
            </w:tcBorders>
            <w:tcMar>
              <w:top w:w="0" w:type="dxa"/>
              <w:left w:w="115" w:type="dxa"/>
              <w:bottom w:w="0" w:type="dxa"/>
              <w:right w:w="115" w:type="dxa"/>
            </w:tcMar>
            <w:vAlign w:val="center"/>
          </w:tcPr>
          <w:p w14:paraId="33026628" w14:textId="77777777" w:rsidR="008E6E82" w:rsidRDefault="008E6E82" w:rsidP="00505BE8">
            <w:pPr>
              <w:jc w:val="both"/>
              <w:rPr>
                <w:rFonts w:eastAsia="Times New Roman"/>
              </w:rPr>
            </w:pPr>
            <w:r>
              <w:rPr>
                <w:rFonts w:eastAsia="Times New Roman"/>
                <w:color w:val="000000"/>
              </w:rPr>
              <w:t>H2:There is a significant relation between Emotional contagion and Attitude.</w:t>
            </w:r>
          </w:p>
        </w:tc>
        <w:tc>
          <w:tcPr>
            <w:tcW w:w="1275" w:type="dxa"/>
            <w:tcBorders>
              <w:top w:val="single" w:sz="4" w:space="0" w:color="000000"/>
              <w:bottom w:val="single" w:sz="4" w:space="0" w:color="000000"/>
            </w:tcBorders>
            <w:tcMar>
              <w:top w:w="0" w:type="dxa"/>
              <w:left w:w="115" w:type="dxa"/>
              <w:bottom w:w="0" w:type="dxa"/>
              <w:right w:w="115" w:type="dxa"/>
            </w:tcMar>
            <w:vAlign w:val="center"/>
          </w:tcPr>
          <w:p w14:paraId="7E15D6B5" w14:textId="77777777" w:rsidR="008E6E82" w:rsidRDefault="008E6E82" w:rsidP="00505BE8">
            <w:pPr>
              <w:spacing w:line="276" w:lineRule="auto"/>
              <w:jc w:val="center"/>
              <w:rPr>
                <w:rFonts w:eastAsia="Times New Roman"/>
              </w:rPr>
            </w:pPr>
            <w:r>
              <w:rPr>
                <w:rFonts w:eastAsia="Times New Roman"/>
                <w:color w:val="000000"/>
              </w:rPr>
              <w:t>EC--&gt;A</w:t>
            </w:r>
          </w:p>
        </w:tc>
        <w:tc>
          <w:tcPr>
            <w:tcW w:w="0" w:type="auto"/>
            <w:tcBorders>
              <w:top w:val="single" w:sz="4" w:space="0" w:color="000000"/>
              <w:bottom w:val="single" w:sz="4" w:space="0" w:color="000000"/>
            </w:tcBorders>
            <w:tcMar>
              <w:top w:w="0" w:type="dxa"/>
              <w:left w:w="115" w:type="dxa"/>
              <w:bottom w:w="0" w:type="dxa"/>
              <w:right w:w="115" w:type="dxa"/>
            </w:tcMar>
            <w:vAlign w:val="center"/>
          </w:tcPr>
          <w:p w14:paraId="26DAD737" w14:textId="77777777" w:rsidR="008E6E82" w:rsidRDefault="008E6E82" w:rsidP="00505BE8">
            <w:pPr>
              <w:spacing w:line="276" w:lineRule="auto"/>
              <w:jc w:val="center"/>
              <w:rPr>
                <w:rFonts w:eastAsia="Times New Roman"/>
              </w:rPr>
            </w:pPr>
            <w:r>
              <w:rPr>
                <w:rFonts w:eastAsia="Times New Roman"/>
                <w:color w:val="000000"/>
              </w:rPr>
              <w:t>0.209</w:t>
            </w:r>
          </w:p>
        </w:tc>
        <w:tc>
          <w:tcPr>
            <w:tcW w:w="831" w:type="dxa"/>
            <w:tcBorders>
              <w:top w:val="single" w:sz="4" w:space="0" w:color="000000"/>
              <w:bottom w:val="single" w:sz="4" w:space="0" w:color="000000"/>
            </w:tcBorders>
            <w:tcMar>
              <w:top w:w="0" w:type="dxa"/>
              <w:left w:w="115" w:type="dxa"/>
              <w:bottom w:w="0" w:type="dxa"/>
              <w:right w:w="115" w:type="dxa"/>
            </w:tcMar>
            <w:vAlign w:val="center"/>
          </w:tcPr>
          <w:p w14:paraId="347F1D64" w14:textId="77777777" w:rsidR="008E6E82" w:rsidRDefault="008E6E82" w:rsidP="00505BE8">
            <w:pPr>
              <w:spacing w:line="276" w:lineRule="auto"/>
              <w:jc w:val="center"/>
              <w:rPr>
                <w:rFonts w:eastAsia="Times New Roman"/>
              </w:rPr>
            </w:pPr>
            <w:r>
              <w:rPr>
                <w:rFonts w:eastAsia="Times New Roman"/>
                <w:color w:val="000000"/>
              </w:rPr>
              <w:t>0.000</w:t>
            </w:r>
          </w:p>
        </w:tc>
        <w:tc>
          <w:tcPr>
            <w:tcW w:w="1137" w:type="dxa"/>
            <w:tcBorders>
              <w:top w:val="single" w:sz="4" w:space="0" w:color="000000"/>
              <w:bottom w:val="single" w:sz="4" w:space="0" w:color="000000"/>
            </w:tcBorders>
            <w:tcMar>
              <w:top w:w="0" w:type="dxa"/>
              <w:left w:w="115" w:type="dxa"/>
              <w:bottom w:w="0" w:type="dxa"/>
              <w:right w:w="115" w:type="dxa"/>
            </w:tcMar>
            <w:vAlign w:val="center"/>
          </w:tcPr>
          <w:p w14:paraId="0B9758F4" w14:textId="77777777" w:rsidR="008E6E82" w:rsidRDefault="008E6E82" w:rsidP="00505BE8">
            <w:pPr>
              <w:spacing w:line="276" w:lineRule="auto"/>
              <w:jc w:val="center"/>
              <w:rPr>
                <w:rFonts w:eastAsia="Times New Roman"/>
              </w:rPr>
            </w:pPr>
            <w:r>
              <w:rPr>
                <w:rFonts w:eastAsia="Times New Roman"/>
                <w:color w:val="000000"/>
              </w:rPr>
              <w:t>Accepted</w:t>
            </w:r>
          </w:p>
        </w:tc>
      </w:tr>
      <w:tr w:rsidR="008E6E82" w14:paraId="26243051" w14:textId="77777777" w:rsidTr="00505BE8">
        <w:trPr>
          <w:trHeight w:val="319"/>
          <w:jc w:val="center"/>
        </w:trPr>
        <w:tc>
          <w:tcPr>
            <w:tcW w:w="4395" w:type="dxa"/>
            <w:tcBorders>
              <w:top w:val="single" w:sz="4" w:space="0" w:color="000000"/>
              <w:bottom w:val="single" w:sz="4" w:space="0" w:color="000000"/>
            </w:tcBorders>
            <w:tcMar>
              <w:top w:w="0" w:type="dxa"/>
              <w:left w:w="115" w:type="dxa"/>
              <w:bottom w:w="0" w:type="dxa"/>
              <w:right w:w="115" w:type="dxa"/>
            </w:tcMar>
            <w:vAlign w:val="center"/>
          </w:tcPr>
          <w:p w14:paraId="4831AFB6" w14:textId="77777777" w:rsidR="008E6E82" w:rsidRDefault="008E6E82" w:rsidP="00505BE8">
            <w:pPr>
              <w:jc w:val="both"/>
              <w:rPr>
                <w:rFonts w:eastAsia="Times New Roman"/>
              </w:rPr>
            </w:pPr>
            <w:r>
              <w:rPr>
                <w:rFonts w:eastAsia="Times New Roman"/>
                <w:color w:val="000000"/>
              </w:rPr>
              <w:t>H3: There is a significant relation between Emotional contagion and Trust.</w:t>
            </w:r>
          </w:p>
        </w:tc>
        <w:tc>
          <w:tcPr>
            <w:tcW w:w="1275" w:type="dxa"/>
            <w:tcBorders>
              <w:top w:val="single" w:sz="4" w:space="0" w:color="000000"/>
              <w:bottom w:val="single" w:sz="4" w:space="0" w:color="000000"/>
            </w:tcBorders>
            <w:tcMar>
              <w:top w:w="0" w:type="dxa"/>
              <w:left w:w="115" w:type="dxa"/>
              <w:bottom w:w="0" w:type="dxa"/>
              <w:right w:w="115" w:type="dxa"/>
            </w:tcMar>
            <w:vAlign w:val="center"/>
          </w:tcPr>
          <w:p w14:paraId="352EAE9D" w14:textId="77777777" w:rsidR="008E6E82" w:rsidRDefault="008E6E82" w:rsidP="00505BE8">
            <w:pPr>
              <w:spacing w:line="276" w:lineRule="auto"/>
              <w:jc w:val="center"/>
              <w:rPr>
                <w:rFonts w:eastAsia="Times New Roman"/>
              </w:rPr>
            </w:pPr>
            <w:r>
              <w:rPr>
                <w:rFonts w:eastAsia="Times New Roman"/>
                <w:color w:val="000000"/>
              </w:rPr>
              <w:t>EC--&gt;T</w:t>
            </w:r>
          </w:p>
        </w:tc>
        <w:tc>
          <w:tcPr>
            <w:tcW w:w="0" w:type="auto"/>
            <w:tcBorders>
              <w:top w:val="single" w:sz="4" w:space="0" w:color="000000"/>
              <w:bottom w:val="single" w:sz="4" w:space="0" w:color="000000"/>
            </w:tcBorders>
            <w:tcMar>
              <w:top w:w="0" w:type="dxa"/>
              <w:left w:w="115" w:type="dxa"/>
              <w:bottom w:w="0" w:type="dxa"/>
              <w:right w:w="115" w:type="dxa"/>
            </w:tcMar>
            <w:vAlign w:val="center"/>
          </w:tcPr>
          <w:p w14:paraId="5AED7A2D" w14:textId="77777777" w:rsidR="008E6E82" w:rsidRDefault="008E6E82" w:rsidP="00505BE8">
            <w:pPr>
              <w:spacing w:line="276" w:lineRule="auto"/>
              <w:jc w:val="center"/>
              <w:rPr>
                <w:rFonts w:eastAsia="Times New Roman"/>
              </w:rPr>
            </w:pPr>
            <w:r>
              <w:rPr>
                <w:rFonts w:eastAsia="Times New Roman"/>
                <w:color w:val="000000"/>
              </w:rPr>
              <w:t>0.226</w:t>
            </w:r>
          </w:p>
        </w:tc>
        <w:tc>
          <w:tcPr>
            <w:tcW w:w="831" w:type="dxa"/>
            <w:tcBorders>
              <w:top w:val="single" w:sz="4" w:space="0" w:color="000000"/>
              <w:bottom w:val="single" w:sz="4" w:space="0" w:color="000000"/>
            </w:tcBorders>
            <w:tcMar>
              <w:top w:w="0" w:type="dxa"/>
              <w:left w:w="115" w:type="dxa"/>
              <w:bottom w:w="0" w:type="dxa"/>
              <w:right w:w="115" w:type="dxa"/>
            </w:tcMar>
            <w:vAlign w:val="center"/>
          </w:tcPr>
          <w:p w14:paraId="6374F294" w14:textId="77777777" w:rsidR="008E6E82" w:rsidRDefault="008E6E82" w:rsidP="00505BE8">
            <w:pPr>
              <w:spacing w:line="276" w:lineRule="auto"/>
              <w:jc w:val="center"/>
              <w:rPr>
                <w:rFonts w:eastAsia="Times New Roman"/>
              </w:rPr>
            </w:pPr>
            <w:r>
              <w:rPr>
                <w:rFonts w:eastAsia="Times New Roman"/>
                <w:color w:val="000000"/>
              </w:rPr>
              <w:t>0.000</w:t>
            </w:r>
          </w:p>
        </w:tc>
        <w:tc>
          <w:tcPr>
            <w:tcW w:w="1137" w:type="dxa"/>
            <w:tcBorders>
              <w:top w:val="single" w:sz="4" w:space="0" w:color="000000"/>
              <w:bottom w:val="single" w:sz="4" w:space="0" w:color="000000"/>
            </w:tcBorders>
            <w:tcMar>
              <w:top w:w="0" w:type="dxa"/>
              <w:left w:w="115" w:type="dxa"/>
              <w:bottom w:w="0" w:type="dxa"/>
              <w:right w:w="115" w:type="dxa"/>
            </w:tcMar>
            <w:vAlign w:val="center"/>
          </w:tcPr>
          <w:p w14:paraId="188AF6A1" w14:textId="77777777" w:rsidR="008E6E82" w:rsidRDefault="008E6E82" w:rsidP="00505BE8">
            <w:pPr>
              <w:spacing w:line="276" w:lineRule="auto"/>
              <w:jc w:val="center"/>
              <w:rPr>
                <w:rFonts w:eastAsia="Times New Roman"/>
              </w:rPr>
            </w:pPr>
            <w:r>
              <w:rPr>
                <w:rFonts w:eastAsia="Times New Roman"/>
                <w:color w:val="000000"/>
              </w:rPr>
              <w:t>Accepted</w:t>
            </w:r>
          </w:p>
        </w:tc>
      </w:tr>
      <w:tr w:rsidR="008E6E82" w14:paraId="037F15F9" w14:textId="77777777" w:rsidTr="00505BE8">
        <w:trPr>
          <w:trHeight w:val="319"/>
          <w:jc w:val="center"/>
        </w:trPr>
        <w:tc>
          <w:tcPr>
            <w:tcW w:w="4395" w:type="dxa"/>
            <w:tcBorders>
              <w:top w:val="single" w:sz="4" w:space="0" w:color="000000"/>
              <w:bottom w:val="single" w:sz="4" w:space="0" w:color="000000"/>
            </w:tcBorders>
            <w:tcMar>
              <w:top w:w="0" w:type="dxa"/>
              <w:left w:w="115" w:type="dxa"/>
              <w:bottom w:w="0" w:type="dxa"/>
              <w:right w:w="115" w:type="dxa"/>
            </w:tcMar>
            <w:vAlign w:val="center"/>
          </w:tcPr>
          <w:p w14:paraId="555E653F" w14:textId="77777777" w:rsidR="008E6E82" w:rsidRDefault="008E6E82" w:rsidP="00505BE8">
            <w:pPr>
              <w:jc w:val="both"/>
              <w:rPr>
                <w:rFonts w:eastAsia="Times New Roman"/>
              </w:rPr>
            </w:pPr>
            <w:r>
              <w:rPr>
                <w:rFonts w:eastAsia="Times New Roman"/>
                <w:color w:val="000000"/>
              </w:rPr>
              <w:t>H4: There is a significant relation between Emotional contagion and Brand Engagement.</w:t>
            </w:r>
          </w:p>
        </w:tc>
        <w:tc>
          <w:tcPr>
            <w:tcW w:w="1275" w:type="dxa"/>
            <w:tcBorders>
              <w:top w:val="single" w:sz="4" w:space="0" w:color="000000"/>
              <w:bottom w:val="single" w:sz="4" w:space="0" w:color="000000"/>
            </w:tcBorders>
            <w:tcMar>
              <w:top w:w="0" w:type="dxa"/>
              <w:left w:w="115" w:type="dxa"/>
              <w:bottom w:w="0" w:type="dxa"/>
              <w:right w:w="115" w:type="dxa"/>
            </w:tcMar>
            <w:vAlign w:val="center"/>
          </w:tcPr>
          <w:p w14:paraId="215F0937" w14:textId="77777777" w:rsidR="008E6E82" w:rsidRDefault="008E6E82" w:rsidP="00505BE8">
            <w:pPr>
              <w:spacing w:line="276" w:lineRule="auto"/>
              <w:jc w:val="center"/>
              <w:rPr>
                <w:rFonts w:eastAsia="Times New Roman"/>
              </w:rPr>
            </w:pPr>
            <w:r>
              <w:rPr>
                <w:rFonts w:eastAsia="Times New Roman"/>
                <w:color w:val="000000"/>
              </w:rPr>
              <w:t>EC--&gt;BE</w:t>
            </w:r>
          </w:p>
        </w:tc>
        <w:tc>
          <w:tcPr>
            <w:tcW w:w="0" w:type="auto"/>
            <w:tcBorders>
              <w:top w:val="single" w:sz="4" w:space="0" w:color="000000"/>
              <w:bottom w:val="single" w:sz="4" w:space="0" w:color="000000"/>
            </w:tcBorders>
            <w:tcMar>
              <w:top w:w="0" w:type="dxa"/>
              <w:left w:w="115" w:type="dxa"/>
              <w:bottom w:w="0" w:type="dxa"/>
              <w:right w:w="115" w:type="dxa"/>
            </w:tcMar>
            <w:vAlign w:val="center"/>
          </w:tcPr>
          <w:p w14:paraId="55F148F6" w14:textId="77777777" w:rsidR="008E6E82" w:rsidRDefault="008E6E82" w:rsidP="00505BE8">
            <w:pPr>
              <w:spacing w:line="276" w:lineRule="auto"/>
              <w:jc w:val="center"/>
              <w:rPr>
                <w:rFonts w:eastAsia="Times New Roman"/>
              </w:rPr>
            </w:pPr>
            <w:r>
              <w:rPr>
                <w:rFonts w:eastAsia="Times New Roman"/>
                <w:color w:val="000000"/>
              </w:rPr>
              <w:t>0.15</w:t>
            </w:r>
          </w:p>
        </w:tc>
        <w:tc>
          <w:tcPr>
            <w:tcW w:w="831" w:type="dxa"/>
            <w:tcBorders>
              <w:top w:val="single" w:sz="4" w:space="0" w:color="000000"/>
              <w:bottom w:val="single" w:sz="4" w:space="0" w:color="000000"/>
            </w:tcBorders>
            <w:tcMar>
              <w:top w:w="0" w:type="dxa"/>
              <w:left w:w="115" w:type="dxa"/>
              <w:bottom w:w="0" w:type="dxa"/>
              <w:right w:w="115" w:type="dxa"/>
            </w:tcMar>
            <w:vAlign w:val="center"/>
          </w:tcPr>
          <w:p w14:paraId="2488F83C" w14:textId="77777777" w:rsidR="008E6E82" w:rsidRDefault="008E6E82" w:rsidP="00505BE8">
            <w:pPr>
              <w:spacing w:line="276" w:lineRule="auto"/>
              <w:jc w:val="center"/>
              <w:rPr>
                <w:rFonts w:eastAsia="Times New Roman"/>
              </w:rPr>
            </w:pPr>
            <w:r>
              <w:rPr>
                <w:rFonts w:eastAsia="Times New Roman"/>
                <w:color w:val="000000"/>
              </w:rPr>
              <w:t>0.043</w:t>
            </w:r>
          </w:p>
        </w:tc>
        <w:tc>
          <w:tcPr>
            <w:tcW w:w="1137" w:type="dxa"/>
            <w:tcBorders>
              <w:top w:val="single" w:sz="4" w:space="0" w:color="000000"/>
              <w:bottom w:val="single" w:sz="4" w:space="0" w:color="000000"/>
            </w:tcBorders>
            <w:tcMar>
              <w:top w:w="0" w:type="dxa"/>
              <w:left w:w="115" w:type="dxa"/>
              <w:bottom w:w="0" w:type="dxa"/>
              <w:right w:w="115" w:type="dxa"/>
            </w:tcMar>
            <w:vAlign w:val="center"/>
          </w:tcPr>
          <w:p w14:paraId="35A7DABB" w14:textId="77777777" w:rsidR="008E6E82" w:rsidRDefault="008E6E82" w:rsidP="00505BE8">
            <w:pPr>
              <w:spacing w:line="276" w:lineRule="auto"/>
              <w:jc w:val="center"/>
              <w:rPr>
                <w:rFonts w:eastAsia="Times New Roman"/>
              </w:rPr>
            </w:pPr>
            <w:r>
              <w:rPr>
                <w:rFonts w:eastAsia="Times New Roman"/>
                <w:color w:val="000000"/>
              </w:rPr>
              <w:t>Accepted</w:t>
            </w:r>
          </w:p>
        </w:tc>
      </w:tr>
      <w:tr w:rsidR="008E6E82" w14:paraId="3214AD3B" w14:textId="77777777" w:rsidTr="00505BE8">
        <w:trPr>
          <w:trHeight w:val="319"/>
          <w:jc w:val="center"/>
        </w:trPr>
        <w:tc>
          <w:tcPr>
            <w:tcW w:w="4395" w:type="dxa"/>
            <w:tcBorders>
              <w:top w:val="single" w:sz="4" w:space="0" w:color="000000"/>
              <w:bottom w:val="single" w:sz="4" w:space="0" w:color="000000"/>
            </w:tcBorders>
            <w:tcMar>
              <w:top w:w="0" w:type="dxa"/>
              <w:left w:w="115" w:type="dxa"/>
              <w:bottom w:w="0" w:type="dxa"/>
              <w:right w:w="115" w:type="dxa"/>
            </w:tcMar>
            <w:vAlign w:val="center"/>
          </w:tcPr>
          <w:p w14:paraId="3D7AA35C" w14:textId="77777777" w:rsidR="008E6E82" w:rsidRDefault="008E6E82" w:rsidP="00505BE8">
            <w:pPr>
              <w:jc w:val="both"/>
              <w:rPr>
                <w:rFonts w:eastAsia="Times New Roman"/>
              </w:rPr>
            </w:pPr>
            <w:r>
              <w:rPr>
                <w:rFonts w:eastAsia="Times New Roman"/>
                <w:color w:val="000000"/>
              </w:rPr>
              <w:t>H5: There is a significant relation between Attitude and Brand Engagement.</w:t>
            </w:r>
          </w:p>
        </w:tc>
        <w:tc>
          <w:tcPr>
            <w:tcW w:w="1275" w:type="dxa"/>
            <w:tcBorders>
              <w:top w:val="single" w:sz="4" w:space="0" w:color="000000"/>
              <w:bottom w:val="single" w:sz="4" w:space="0" w:color="000000"/>
            </w:tcBorders>
            <w:tcMar>
              <w:top w:w="0" w:type="dxa"/>
              <w:left w:w="115" w:type="dxa"/>
              <w:bottom w:w="0" w:type="dxa"/>
              <w:right w:w="115" w:type="dxa"/>
            </w:tcMar>
            <w:vAlign w:val="center"/>
          </w:tcPr>
          <w:p w14:paraId="24D9D937" w14:textId="77777777" w:rsidR="008E6E82" w:rsidRDefault="008E6E82" w:rsidP="00505BE8">
            <w:pPr>
              <w:spacing w:line="276" w:lineRule="auto"/>
              <w:jc w:val="center"/>
              <w:rPr>
                <w:rFonts w:eastAsia="Times New Roman"/>
              </w:rPr>
            </w:pPr>
            <w:r>
              <w:rPr>
                <w:rFonts w:eastAsia="Times New Roman"/>
                <w:color w:val="000000"/>
              </w:rPr>
              <w:t>A--&gt;BE</w:t>
            </w:r>
          </w:p>
        </w:tc>
        <w:tc>
          <w:tcPr>
            <w:tcW w:w="0" w:type="auto"/>
            <w:tcBorders>
              <w:top w:val="single" w:sz="4" w:space="0" w:color="000000"/>
              <w:bottom w:val="single" w:sz="4" w:space="0" w:color="000000"/>
            </w:tcBorders>
            <w:tcMar>
              <w:top w:w="0" w:type="dxa"/>
              <w:left w:w="115" w:type="dxa"/>
              <w:bottom w:w="0" w:type="dxa"/>
              <w:right w:w="115" w:type="dxa"/>
            </w:tcMar>
            <w:vAlign w:val="center"/>
          </w:tcPr>
          <w:p w14:paraId="546ECFD2" w14:textId="77777777" w:rsidR="008E6E82" w:rsidRDefault="008E6E82" w:rsidP="00505BE8">
            <w:pPr>
              <w:spacing w:line="276" w:lineRule="auto"/>
              <w:jc w:val="center"/>
              <w:rPr>
                <w:rFonts w:eastAsia="Times New Roman"/>
              </w:rPr>
            </w:pPr>
            <w:r>
              <w:rPr>
                <w:rFonts w:eastAsia="Times New Roman"/>
                <w:color w:val="000000"/>
              </w:rPr>
              <w:t>0.37</w:t>
            </w:r>
          </w:p>
        </w:tc>
        <w:tc>
          <w:tcPr>
            <w:tcW w:w="831" w:type="dxa"/>
            <w:tcBorders>
              <w:top w:val="single" w:sz="4" w:space="0" w:color="000000"/>
              <w:bottom w:val="single" w:sz="4" w:space="0" w:color="000000"/>
            </w:tcBorders>
            <w:tcMar>
              <w:top w:w="0" w:type="dxa"/>
              <w:left w:w="115" w:type="dxa"/>
              <w:bottom w:w="0" w:type="dxa"/>
              <w:right w:w="115" w:type="dxa"/>
            </w:tcMar>
            <w:vAlign w:val="center"/>
          </w:tcPr>
          <w:p w14:paraId="3A279803" w14:textId="77777777" w:rsidR="008E6E82" w:rsidRDefault="008E6E82" w:rsidP="00505BE8">
            <w:pPr>
              <w:spacing w:line="276" w:lineRule="auto"/>
              <w:jc w:val="center"/>
              <w:rPr>
                <w:rFonts w:eastAsia="Times New Roman"/>
              </w:rPr>
            </w:pPr>
            <w:r>
              <w:rPr>
                <w:rFonts w:eastAsia="Times New Roman"/>
                <w:color w:val="000000"/>
              </w:rPr>
              <w:t>0.000</w:t>
            </w:r>
          </w:p>
        </w:tc>
        <w:tc>
          <w:tcPr>
            <w:tcW w:w="1137" w:type="dxa"/>
            <w:tcBorders>
              <w:top w:val="single" w:sz="4" w:space="0" w:color="000000"/>
              <w:bottom w:val="single" w:sz="4" w:space="0" w:color="000000"/>
            </w:tcBorders>
            <w:tcMar>
              <w:top w:w="0" w:type="dxa"/>
              <w:left w:w="115" w:type="dxa"/>
              <w:bottom w:w="0" w:type="dxa"/>
              <w:right w:w="115" w:type="dxa"/>
            </w:tcMar>
            <w:vAlign w:val="center"/>
          </w:tcPr>
          <w:p w14:paraId="1BFF7413" w14:textId="77777777" w:rsidR="008E6E82" w:rsidRDefault="008E6E82" w:rsidP="00505BE8">
            <w:pPr>
              <w:spacing w:line="276" w:lineRule="auto"/>
              <w:jc w:val="center"/>
              <w:rPr>
                <w:rFonts w:eastAsia="Times New Roman"/>
              </w:rPr>
            </w:pPr>
            <w:r>
              <w:rPr>
                <w:rFonts w:eastAsia="Times New Roman"/>
                <w:color w:val="000000"/>
              </w:rPr>
              <w:t>Accepted</w:t>
            </w:r>
          </w:p>
        </w:tc>
      </w:tr>
      <w:tr w:rsidR="008E6E82" w14:paraId="1C248B3C" w14:textId="77777777" w:rsidTr="00505BE8">
        <w:trPr>
          <w:trHeight w:val="319"/>
          <w:jc w:val="center"/>
        </w:trPr>
        <w:tc>
          <w:tcPr>
            <w:tcW w:w="4395" w:type="dxa"/>
            <w:tcBorders>
              <w:top w:val="single" w:sz="4" w:space="0" w:color="000000"/>
              <w:bottom w:val="single" w:sz="4" w:space="0" w:color="auto"/>
            </w:tcBorders>
            <w:tcMar>
              <w:top w:w="0" w:type="dxa"/>
              <w:left w:w="115" w:type="dxa"/>
              <w:bottom w:w="0" w:type="dxa"/>
              <w:right w:w="115" w:type="dxa"/>
            </w:tcMar>
            <w:vAlign w:val="center"/>
          </w:tcPr>
          <w:p w14:paraId="5E469057" w14:textId="77777777" w:rsidR="008E6E82" w:rsidRDefault="008E6E82" w:rsidP="00505BE8">
            <w:pPr>
              <w:jc w:val="both"/>
              <w:rPr>
                <w:rFonts w:eastAsia="Times New Roman"/>
              </w:rPr>
            </w:pPr>
            <w:r>
              <w:rPr>
                <w:rFonts w:eastAsia="Times New Roman"/>
                <w:color w:val="000000"/>
              </w:rPr>
              <w:t>H6: There is a significant relationship between Trust and Brand Engagement.</w:t>
            </w:r>
          </w:p>
        </w:tc>
        <w:tc>
          <w:tcPr>
            <w:tcW w:w="1275" w:type="dxa"/>
            <w:tcBorders>
              <w:top w:val="single" w:sz="4" w:space="0" w:color="000000"/>
              <w:bottom w:val="single" w:sz="4" w:space="0" w:color="auto"/>
            </w:tcBorders>
            <w:tcMar>
              <w:top w:w="0" w:type="dxa"/>
              <w:left w:w="115" w:type="dxa"/>
              <w:bottom w:w="0" w:type="dxa"/>
              <w:right w:w="115" w:type="dxa"/>
            </w:tcMar>
            <w:vAlign w:val="center"/>
          </w:tcPr>
          <w:p w14:paraId="541C46A0" w14:textId="77777777" w:rsidR="008E6E82" w:rsidRDefault="008E6E82" w:rsidP="00505BE8">
            <w:pPr>
              <w:spacing w:line="276" w:lineRule="auto"/>
              <w:jc w:val="center"/>
              <w:rPr>
                <w:rFonts w:eastAsia="Times New Roman"/>
              </w:rPr>
            </w:pPr>
            <w:r>
              <w:rPr>
                <w:rFonts w:eastAsia="Times New Roman"/>
                <w:color w:val="000000"/>
              </w:rPr>
              <w:t>T--&gt;BE</w:t>
            </w:r>
          </w:p>
        </w:tc>
        <w:tc>
          <w:tcPr>
            <w:tcW w:w="0" w:type="auto"/>
            <w:tcBorders>
              <w:top w:val="single" w:sz="4" w:space="0" w:color="000000"/>
              <w:bottom w:val="single" w:sz="4" w:space="0" w:color="auto"/>
            </w:tcBorders>
            <w:tcMar>
              <w:top w:w="0" w:type="dxa"/>
              <w:left w:w="115" w:type="dxa"/>
              <w:bottom w:w="0" w:type="dxa"/>
              <w:right w:w="115" w:type="dxa"/>
            </w:tcMar>
            <w:vAlign w:val="center"/>
          </w:tcPr>
          <w:p w14:paraId="5BCE4CFA" w14:textId="77777777" w:rsidR="008E6E82" w:rsidRDefault="008E6E82" w:rsidP="00505BE8">
            <w:pPr>
              <w:spacing w:line="276" w:lineRule="auto"/>
              <w:jc w:val="center"/>
              <w:rPr>
                <w:rFonts w:eastAsia="Times New Roman"/>
              </w:rPr>
            </w:pPr>
            <w:r>
              <w:rPr>
                <w:rFonts w:eastAsia="Times New Roman"/>
                <w:color w:val="000000"/>
              </w:rPr>
              <w:t>0.254</w:t>
            </w:r>
          </w:p>
        </w:tc>
        <w:tc>
          <w:tcPr>
            <w:tcW w:w="831" w:type="dxa"/>
            <w:tcBorders>
              <w:top w:val="single" w:sz="4" w:space="0" w:color="000000"/>
              <w:bottom w:val="single" w:sz="4" w:space="0" w:color="auto"/>
            </w:tcBorders>
            <w:tcMar>
              <w:top w:w="0" w:type="dxa"/>
              <w:left w:w="115" w:type="dxa"/>
              <w:bottom w:w="0" w:type="dxa"/>
              <w:right w:w="115" w:type="dxa"/>
            </w:tcMar>
            <w:vAlign w:val="center"/>
          </w:tcPr>
          <w:p w14:paraId="146BFF65" w14:textId="77777777" w:rsidR="008E6E82" w:rsidRDefault="008E6E82" w:rsidP="00505BE8">
            <w:pPr>
              <w:spacing w:line="276" w:lineRule="auto"/>
              <w:jc w:val="center"/>
              <w:rPr>
                <w:rFonts w:eastAsia="Times New Roman"/>
              </w:rPr>
            </w:pPr>
            <w:r>
              <w:rPr>
                <w:rFonts w:eastAsia="Times New Roman"/>
                <w:color w:val="000000"/>
              </w:rPr>
              <w:t>0.000</w:t>
            </w:r>
          </w:p>
        </w:tc>
        <w:tc>
          <w:tcPr>
            <w:tcW w:w="1137" w:type="dxa"/>
            <w:tcBorders>
              <w:top w:val="single" w:sz="4" w:space="0" w:color="000000"/>
              <w:bottom w:val="single" w:sz="4" w:space="0" w:color="auto"/>
            </w:tcBorders>
            <w:tcMar>
              <w:top w:w="0" w:type="dxa"/>
              <w:left w:w="115" w:type="dxa"/>
              <w:bottom w:w="0" w:type="dxa"/>
              <w:right w:w="115" w:type="dxa"/>
            </w:tcMar>
            <w:vAlign w:val="center"/>
          </w:tcPr>
          <w:p w14:paraId="0E3180BD" w14:textId="77777777" w:rsidR="008E6E82" w:rsidRDefault="008E6E82" w:rsidP="00505BE8">
            <w:pPr>
              <w:spacing w:line="276" w:lineRule="auto"/>
              <w:jc w:val="center"/>
              <w:rPr>
                <w:rFonts w:eastAsia="Times New Roman"/>
              </w:rPr>
            </w:pPr>
            <w:r>
              <w:rPr>
                <w:rFonts w:eastAsia="Times New Roman"/>
                <w:color w:val="000000"/>
              </w:rPr>
              <w:t>Accepted</w:t>
            </w:r>
          </w:p>
        </w:tc>
      </w:tr>
    </w:tbl>
    <w:p w14:paraId="66A81EBA" w14:textId="3A0921CF" w:rsidR="008E6E82" w:rsidRDefault="003A5130" w:rsidP="00505BE8">
      <w:pPr>
        <w:pStyle w:val="Web"/>
        <w:snapToGrid w:val="0"/>
        <w:spacing w:beforeLines="100" w:before="360" w:beforeAutospacing="0" w:after="0" w:afterAutospacing="0" w:line="276" w:lineRule="auto"/>
        <w:ind w:firstLineChars="59" w:firstLine="142"/>
        <w:jc w:val="center"/>
        <w:textAlignment w:val="top"/>
        <w:rPr>
          <w:rFonts w:ascii="Times New Roman" w:hAnsi="Times New Roman" w:cs="Times New Roman"/>
          <w:szCs w:val="20"/>
        </w:rPr>
      </w:pPr>
      <w:r>
        <w:rPr>
          <w:noProof/>
          <w:color w:val="000000"/>
        </w:rPr>
        <w:drawing>
          <wp:inline distT="0" distB="0" distL="0" distR="0" wp14:anchorId="0B62CC9B" wp14:editId="09AE805D">
            <wp:extent cx="4243049" cy="2116667"/>
            <wp:effectExtent l="0" t="0" r="5715"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grayscl/>
                    </a:blip>
                    <a:srcRect/>
                    <a:stretch>
                      <a:fillRect/>
                    </a:stretch>
                  </pic:blipFill>
                  <pic:spPr>
                    <a:xfrm>
                      <a:off x="0" y="0"/>
                      <a:ext cx="4270645" cy="2130433"/>
                    </a:xfrm>
                    <a:prstGeom prst="rect">
                      <a:avLst/>
                    </a:prstGeom>
                    <a:ln/>
                  </pic:spPr>
                </pic:pic>
              </a:graphicData>
            </a:graphic>
          </wp:inline>
        </w:drawing>
      </w:r>
    </w:p>
    <w:p w14:paraId="6FA5EB7F" w14:textId="02633DBF" w:rsidR="001836F2" w:rsidRPr="00FD5AFA" w:rsidRDefault="003A5130" w:rsidP="00505BE8">
      <w:pPr>
        <w:pStyle w:val="Web"/>
        <w:snapToGrid w:val="0"/>
        <w:spacing w:before="0" w:beforeAutospacing="0" w:afterLines="100" w:after="360" w:afterAutospacing="0" w:line="276" w:lineRule="auto"/>
        <w:ind w:firstLineChars="200" w:firstLine="480"/>
        <w:jc w:val="center"/>
        <w:textAlignment w:val="top"/>
        <w:rPr>
          <w:rFonts w:ascii="Times New Roman" w:eastAsiaTheme="minorEastAsia" w:hAnsi="Times New Roman" w:cs="Times New Roman"/>
          <w:bCs/>
          <w:color w:val="000000"/>
        </w:rPr>
      </w:pPr>
      <w:r>
        <w:rPr>
          <w:rFonts w:ascii="Times New Roman" w:eastAsia="Times New Roman" w:hAnsi="Times New Roman" w:cs="Times New Roman"/>
          <w:b/>
          <w:color w:val="000000"/>
        </w:rPr>
        <w:t xml:space="preserve">Figure 1. </w:t>
      </w:r>
      <w:r w:rsidRPr="003A5130">
        <w:rPr>
          <w:rFonts w:ascii="Times New Roman" w:eastAsia="Times New Roman" w:hAnsi="Times New Roman" w:cs="Times New Roman"/>
          <w:bCs/>
          <w:color w:val="000000"/>
        </w:rPr>
        <w:t>Model showing the impact of emotional contagion on attitude, trust and brand engagement</w:t>
      </w:r>
    </w:p>
    <w:p w14:paraId="6B9A1E4D" w14:textId="77777777" w:rsidR="00505BE8" w:rsidRDefault="00505BE8">
      <w:pPr>
        <w:widowControl/>
        <w:rPr>
          <w:rFonts w:ascii="Arial" w:eastAsia="Times New Roman" w:hAnsi="Arial" w:cs="Arial"/>
          <w:b/>
          <w:color w:val="000000"/>
          <w:sz w:val="28"/>
          <w:szCs w:val="28"/>
        </w:rPr>
      </w:pPr>
      <w:r>
        <w:rPr>
          <w:rFonts w:ascii="Arial" w:eastAsia="Times New Roman" w:hAnsi="Arial" w:cs="Arial"/>
          <w:b/>
          <w:color w:val="000000"/>
          <w:sz w:val="28"/>
          <w:szCs w:val="28"/>
        </w:rPr>
        <w:br w:type="page"/>
      </w:r>
    </w:p>
    <w:p w14:paraId="12F89746" w14:textId="4732314C" w:rsidR="001836F2" w:rsidRPr="00A57916" w:rsidRDefault="001836F2" w:rsidP="00505BE8">
      <w:pPr>
        <w:spacing w:line="276" w:lineRule="auto"/>
        <w:jc w:val="both"/>
        <w:rPr>
          <w:rFonts w:ascii="Arial" w:eastAsia="Times New Roman" w:hAnsi="Arial" w:cs="Arial"/>
          <w:b/>
          <w:color w:val="000000"/>
          <w:sz w:val="28"/>
          <w:szCs w:val="28"/>
        </w:rPr>
      </w:pPr>
      <w:r w:rsidRPr="00A57916">
        <w:rPr>
          <w:rFonts w:ascii="Arial" w:eastAsia="Times New Roman" w:hAnsi="Arial" w:cs="Arial"/>
          <w:b/>
          <w:color w:val="000000"/>
          <w:sz w:val="28"/>
          <w:szCs w:val="28"/>
        </w:rPr>
        <w:lastRenderedPageBreak/>
        <w:t>4.4 Regression Equation</w:t>
      </w:r>
    </w:p>
    <w:p w14:paraId="758AE266" w14:textId="0DF07643" w:rsidR="001836F2" w:rsidRDefault="00505BE8" w:rsidP="00505BE8">
      <w:pPr>
        <w:spacing w:afterLines="50" w:after="180" w:line="276" w:lineRule="auto"/>
        <w:jc w:val="both"/>
        <w:rPr>
          <w:rFonts w:eastAsia="Times New Roman"/>
        </w:rPr>
      </w:pPr>
      <w:r>
        <w:rPr>
          <w:rFonts w:asciiTheme="minorEastAsia" w:eastAsiaTheme="minorEastAsia" w:hAnsiTheme="minorEastAsia" w:hint="eastAsia"/>
        </w:rPr>
        <w:t xml:space="preserve">    </w:t>
      </w:r>
      <w:r w:rsidR="001836F2">
        <w:rPr>
          <w:rFonts w:eastAsia="Times New Roman"/>
        </w:rPr>
        <w:t xml:space="preserve">The following equations were derived after the regression analysis that helped </w:t>
      </w:r>
      <w:r w:rsidR="00577CA9">
        <w:rPr>
          <w:rFonts w:eastAsia="Times New Roman"/>
        </w:rPr>
        <w:t>create</w:t>
      </w:r>
      <w:r w:rsidR="001836F2">
        <w:rPr>
          <w:rFonts w:eastAsia="Times New Roman"/>
        </w:rPr>
        <w:t xml:space="preserve"> predictive models for understanding the various relationships in terms of hypothesis developed and strength of the variables towards </w:t>
      </w:r>
      <w:r w:rsidR="00577CA9">
        <w:rPr>
          <w:rFonts w:eastAsia="Times New Roman"/>
        </w:rPr>
        <w:t xml:space="preserve">the </w:t>
      </w:r>
      <w:r w:rsidR="001836F2">
        <w:rPr>
          <w:rFonts w:eastAsia="Times New Roman"/>
        </w:rPr>
        <w:t>development of the overall model.</w:t>
      </w:r>
    </w:p>
    <w:p w14:paraId="7C11B62C" w14:textId="77777777" w:rsidR="001836F2" w:rsidRDefault="001836F2" w:rsidP="00505BE8">
      <w:pPr>
        <w:spacing w:line="276" w:lineRule="auto"/>
        <w:jc w:val="both"/>
        <w:rPr>
          <w:rFonts w:eastAsia="Times New Roman"/>
          <w:b/>
        </w:rPr>
      </w:pPr>
      <w:r>
        <w:rPr>
          <w:rFonts w:eastAsia="Times New Roman"/>
          <w:b/>
        </w:rPr>
        <w:t>Emotional contagion= 0.265 Audio Content + 0.524 Visual Content</w:t>
      </w:r>
    </w:p>
    <w:p w14:paraId="4E86A002" w14:textId="54F5FF54" w:rsidR="001836F2" w:rsidRDefault="00505BE8" w:rsidP="00505BE8">
      <w:pPr>
        <w:spacing w:line="276" w:lineRule="auto"/>
        <w:jc w:val="both"/>
        <w:rPr>
          <w:rFonts w:eastAsia="Times New Roman"/>
        </w:rPr>
      </w:pPr>
      <w:r>
        <w:rPr>
          <w:rFonts w:asciiTheme="minorEastAsia" w:eastAsiaTheme="minorEastAsia" w:hAnsiTheme="minorEastAsia" w:hint="eastAsia"/>
        </w:rPr>
        <w:t xml:space="preserve">    </w:t>
      </w:r>
      <w:r w:rsidR="001836F2">
        <w:rPr>
          <w:rFonts w:eastAsia="Times New Roman"/>
        </w:rPr>
        <w:t>The Regression equation shows that Visual content has a major impact on Emotional contagion</w:t>
      </w:r>
      <w:r w:rsidR="00577CA9">
        <w:rPr>
          <w:rFonts w:eastAsia="Times New Roman"/>
        </w:rPr>
        <w:t>,</w:t>
      </w:r>
      <w:r w:rsidR="001836F2">
        <w:rPr>
          <w:rFonts w:eastAsia="Times New Roman"/>
        </w:rPr>
        <w:t xml:space="preserve"> with a Beta value of 0.524. Respondents prefer Visual content as it proves to be most attractive and pleasing in terms of information shared. </w:t>
      </w:r>
    </w:p>
    <w:p w14:paraId="1DB54778" w14:textId="77777777" w:rsidR="001836F2" w:rsidRDefault="001836F2" w:rsidP="00505BE8">
      <w:pPr>
        <w:spacing w:beforeLines="50" w:before="180" w:line="276" w:lineRule="auto"/>
        <w:jc w:val="both"/>
        <w:rPr>
          <w:rFonts w:eastAsia="Times New Roman"/>
          <w:b/>
        </w:rPr>
      </w:pPr>
      <w:r>
        <w:rPr>
          <w:rFonts w:eastAsia="Times New Roman"/>
          <w:b/>
        </w:rPr>
        <w:t>Attitude =0.209 Emotional contagion</w:t>
      </w:r>
    </w:p>
    <w:p w14:paraId="4E8378CC" w14:textId="5B8A150A" w:rsidR="001836F2" w:rsidRDefault="00505BE8" w:rsidP="00505BE8">
      <w:pPr>
        <w:spacing w:line="276" w:lineRule="auto"/>
        <w:jc w:val="both"/>
        <w:rPr>
          <w:rFonts w:eastAsia="Times New Roman"/>
        </w:rPr>
      </w:pPr>
      <w:r>
        <w:rPr>
          <w:rFonts w:asciiTheme="minorEastAsia" w:eastAsiaTheme="minorEastAsia" w:hAnsiTheme="minorEastAsia" w:hint="eastAsia"/>
        </w:rPr>
        <w:t xml:space="preserve">    </w:t>
      </w:r>
      <w:r w:rsidR="001836F2">
        <w:rPr>
          <w:rFonts w:eastAsia="Times New Roman"/>
        </w:rPr>
        <w:t>Emotional contagion highly affects the attitude of an individual towards Brands. Positive contagion towards a brand would make the peer-to-peer influence positive.  </w:t>
      </w:r>
    </w:p>
    <w:p w14:paraId="24BDF869" w14:textId="77777777" w:rsidR="001836F2" w:rsidRDefault="001836F2" w:rsidP="00505BE8">
      <w:pPr>
        <w:spacing w:beforeLines="50" w:before="180" w:line="276" w:lineRule="auto"/>
        <w:jc w:val="both"/>
        <w:rPr>
          <w:rFonts w:eastAsia="Times New Roman"/>
          <w:b/>
        </w:rPr>
      </w:pPr>
      <w:r>
        <w:rPr>
          <w:rFonts w:eastAsia="Times New Roman"/>
          <w:b/>
        </w:rPr>
        <w:t>Trust= 0.226 Emotional contagion</w:t>
      </w:r>
    </w:p>
    <w:p w14:paraId="26EFA6DE" w14:textId="1CDE728C" w:rsidR="001836F2" w:rsidRDefault="00505BE8" w:rsidP="00505BE8">
      <w:pPr>
        <w:spacing w:afterLines="50" w:after="180" w:line="276" w:lineRule="auto"/>
        <w:jc w:val="both"/>
        <w:rPr>
          <w:rFonts w:eastAsia="Times New Roman"/>
        </w:rPr>
      </w:pPr>
      <w:r>
        <w:rPr>
          <w:rFonts w:asciiTheme="minorEastAsia" w:eastAsiaTheme="minorEastAsia" w:hAnsiTheme="minorEastAsia" w:hint="eastAsia"/>
        </w:rPr>
        <w:t xml:space="preserve">    </w:t>
      </w:r>
      <w:r w:rsidR="001836F2">
        <w:rPr>
          <w:rFonts w:eastAsia="Times New Roman"/>
        </w:rPr>
        <w:t>Emotional contagion also impacts an individual's trust towards the Brand content from the positive or negative experience.</w:t>
      </w:r>
    </w:p>
    <w:p w14:paraId="52E15A81" w14:textId="77777777" w:rsidR="001836F2" w:rsidRDefault="001836F2" w:rsidP="00505BE8">
      <w:pPr>
        <w:spacing w:line="276" w:lineRule="auto"/>
        <w:jc w:val="both"/>
        <w:rPr>
          <w:rFonts w:eastAsia="Times New Roman"/>
          <w:b/>
        </w:rPr>
      </w:pPr>
      <w:r>
        <w:rPr>
          <w:rFonts w:eastAsia="Times New Roman"/>
          <w:b/>
        </w:rPr>
        <w:t>Brand Engagement = 0.37 Attitude + 0.254 Trust</w:t>
      </w:r>
    </w:p>
    <w:p w14:paraId="01FA8388" w14:textId="21BBC404" w:rsidR="001836F2" w:rsidRPr="00505BE8" w:rsidRDefault="00505BE8" w:rsidP="00505BE8">
      <w:pPr>
        <w:spacing w:line="276" w:lineRule="auto"/>
        <w:jc w:val="both"/>
        <w:rPr>
          <w:rFonts w:eastAsiaTheme="minorEastAsia"/>
        </w:rPr>
      </w:pPr>
      <w:r>
        <w:rPr>
          <w:rFonts w:asciiTheme="minorEastAsia" w:eastAsiaTheme="minorEastAsia" w:hAnsiTheme="minorEastAsia" w:hint="eastAsia"/>
        </w:rPr>
        <w:t xml:space="preserve">    </w:t>
      </w:r>
      <w:r w:rsidR="001836F2">
        <w:rPr>
          <w:rFonts w:eastAsia="Times New Roman"/>
        </w:rPr>
        <w:t>Attitude majorly impacts Brand effectiveness, one's positive or negative attitude towards a particular Brand content would lead to Brand effectiveness. The predictive models have clearly stated th</w:t>
      </w:r>
      <w:r w:rsidR="00577CA9">
        <w:rPr>
          <w:rFonts w:eastAsia="Times New Roman"/>
        </w:rPr>
        <w:t>at the emotional contagion directly impacts trust and attitude by indirectly influencing</w:t>
      </w:r>
      <w:r w:rsidR="001836F2">
        <w:rPr>
          <w:rFonts w:eastAsia="Times New Roman"/>
        </w:rPr>
        <w:t xml:space="preserve"> brand engagement. The direct impact was</w:t>
      </w:r>
      <w:r w:rsidR="00577CA9">
        <w:rPr>
          <w:rFonts w:eastAsia="Times New Roman"/>
        </w:rPr>
        <w:t>,</w:t>
      </w:r>
      <w:r w:rsidR="001836F2">
        <w:rPr>
          <w:rFonts w:eastAsia="Times New Roman"/>
        </w:rPr>
        <w:t xml:space="preserve"> however insignificant.</w:t>
      </w:r>
    </w:p>
    <w:p w14:paraId="4B7AE772" w14:textId="2ADCFBB0" w:rsidR="003A5130" w:rsidRPr="00505BE8" w:rsidRDefault="001836F2" w:rsidP="00505BE8">
      <w:pPr>
        <w:pStyle w:val="af5"/>
        <w:numPr>
          <w:ilvl w:val="0"/>
          <w:numId w:val="4"/>
        </w:numPr>
        <w:spacing w:beforeLines="100" w:before="360" w:afterLines="100" w:after="360" w:line="276" w:lineRule="auto"/>
        <w:jc w:val="center"/>
        <w:rPr>
          <w:rFonts w:ascii="Arial" w:eastAsia="Times New Roman" w:hAnsi="Arial" w:cs="Arial"/>
          <w:b/>
          <w:color w:val="000000"/>
          <w:sz w:val="28"/>
          <w:szCs w:val="28"/>
        </w:rPr>
      </w:pPr>
      <w:r w:rsidRPr="00505BE8">
        <w:rPr>
          <w:rFonts w:ascii="Arial" w:eastAsia="Times New Roman" w:hAnsi="Arial" w:cs="Arial"/>
          <w:b/>
          <w:color w:val="000000"/>
          <w:sz w:val="28"/>
          <w:szCs w:val="28"/>
        </w:rPr>
        <w:t>FINDINGS AND DISCUSSION</w:t>
      </w:r>
    </w:p>
    <w:p w14:paraId="1837B046" w14:textId="40319ED9" w:rsidR="001836F2" w:rsidRPr="00505BE8" w:rsidRDefault="001836F2" w:rsidP="00505BE8">
      <w:pPr>
        <w:spacing w:line="276" w:lineRule="auto"/>
        <w:ind w:firstLine="476"/>
        <w:jc w:val="both"/>
        <w:rPr>
          <w:rFonts w:eastAsiaTheme="minorEastAsia"/>
        </w:rPr>
      </w:pPr>
      <w:r>
        <w:rPr>
          <w:rFonts w:eastAsia="Times New Roman"/>
        </w:rPr>
        <w:t xml:space="preserve">The results of the study highlight that emotional contagion is largely influenced by visual content than audio and video content. This is in line with the </w:t>
      </w:r>
      <w:r w:rsidR="00577CA9">
        <w:rPr>
          <w:rFonts w:eastAsia="Times New Roman"/>
        </w:rPr>
        <w:t>study's findings</w:t>
      </w:r>
      <w:r>
        <w:rPr>
          <w:rFonts w:eastAsia="Times New Roman"/>
        </w:rPr>
        <w:t xml:space="preserve"> conducted on emotional contagion and audio-visual communication [59]. The audio content and the text content follow</w:t>
      </w:r>
      <w:r w:rsidR="00577CA9">
        <w:rPr>
          <w:rFonts w:eastAsia="Times New Roman"/>
        </w:rPr>
        <w:t>,</w:t>
      </w:r>
      <w:r>
        <w:rPr>
          <w:rFonts w:eastAsia="Times New Roman"/>
        </w:rPr>
        <w:t xml:space="preserve"> respectively and the significant presence of audio content is due to social media websites like Spotify, YouTube Music</w:t>
      </w:r>
      <w:r w:rsidR="00577CA9">
        <w:rPr>
          <w:rFonts w:eastAsia="Times New Roman"/>
        </w:rPr>
        <w:t>,</w:t>
      </w:r>
      <w:r>
        <w:rPr>
          <w:rFonts w:eastAsia="Times New Roman"/>
        </w:rPr>
        <w:t xml:space="preserve"> etc. Even though the text type is far behind the visual and audio texts, </w:t>
      </w:r>
      <w:r w:rsidR="00577CA9">
        <w:rPr>
          <w:rFonts w:eastAsia="Times New Roman"/>
        </w:rPr>
        <w:t>its dependency cannot be excluded as the content creation and popularity are</w:t>
      </w:r>
      <w:r>
        <w:rPr>
          <w:rFonts w:eastAsia="Times New Roman"/>
        </w:rPr>
        <w:t xml:space="preserve"> spread through the text types only. Therefore, a mixture of different content types with the right platform enhances people's </w:t>
      </w:r>
      <w:r>
        <w:rPr>
          <w:rFonts w:eastAsia="Times New Roman"/>
        </w:rPr>
        <w:lastRenderedPageBreak/>
        <w:t xml:space="preserve">engagement with the brand. Emotional mining may help the advertiser to cluster the viewers into </w:t>
      </w:r>
      <w:r w:rsidR="00577CA9">
        <w:rPr>
          <w:rFonts w:eastAsia="Times New Roman"/>
        </w:rPr>
        <w:t>other</w:t>
      </w:r>
      <w:r>
        <w:rPr>
          <w:rFonts w:eastAsia="Times New Roman"/>
        </w:rPr>
        <w:t xml:space="preserve"> groups and provide custom-tailored content. Repetitive and targeted advertisements or content for the targeted group increases brand engagement. The popular campaigns and content strategy have text types included in them, including the hashtag campaigns. The emotional factor has a great influence on the effectiveness of the content circulated. Custom categorized viewer-based contents provide better effectiveness, and the platform on which the content to be presented is also a deciding factor.  The ultimate aim of improving the brand image or providing better brand effectiveness is achieved through the mentioned strategies. Understanding the value of the content created has a </w:t>
      </w:r>
      <w:r w:rsidR="00577CA9">
        <w:rPr>
          <w:rFonts w:eastAsia="Times New Roman"/>
        </w:rPr>
        <w:t>significan</w:t>
      </w:r>
      <w:r>
        <w:rPr>
          <w:rFonts w:eastAsia="Times New Roman"/>
        </w:rPr>
        <w:t xml:space="preserve">t impact on </w:t>
      </w:r>
      <w:r w:rsidR="00577CA9">
        <w:rPr>
          <w:rFonts w:eastAsia="Times New Roman"/>
        </w:rPr>
        <w:t xml:space="preserve">the </w:t>
      </w:r>
      <w:r>
        <w:rPr>
          <w:rFonts w:eastAsia="Times New Roman"/>
        </w:rPr>
        <w:t xml:space="preserve">planning and designing of the content in the future. The effectiveness of the content is measured by the perceived image of the brand in the customers' minds. The initial analysis of the emotion generated by the content helps the sellers </w:t>
      </w:r>
      <w:r w:rsidR="00577CA9">
        <w:rPr>
          <w:rFonts w:eastAsia="Times New Roman"/>
        </w:rPr>
        <w:t>understand which type of content can</w:t>
      </w:r>
      <w:r>
        <w:rPr>
          <w:rFonts w:eastAsia="Times New Roman"/>
        </w:rPr>
        <w:t xml:space="preserve"> trigger customer buying. Improper planning and content generation diminishes brand image. So, the proper analysis and balance of the content between text, audio, and visual have to be used to trigger positive emotion in the viewer</w:t>
      </w:r>
      <w:r w:rsidR="00577CA9">
        <w:rPr>
          <w:rFonts w:eastAsia="Times New Roman"/>
        </w:rPr>
        <w:t>, resulting</w:t>
      </w:r>
      <w:r>
        <w:rPr>
          <w:rFonts w:eastAsia="Times New Roman"/>
        </w:rPr>
        <w:t xml:space="preserve"> in emotional contagion. The results also emphasize that emotional contagion impacts both customer attitude and trust. Customer trust is highly </w:t>
      </w:r>
      <w:r w:rsidR="00577CA9">
        <w:rPr>
          <w:rFonts w:eastAsia="Times New Roman"/>
        </w:rPr>
        <w:t>affe</w:t>
      </w:r>
      <w:r>
        <w:rPr>
          <w:rFonts w:eastAsia="Times New Roman"/>
        </w:rPr>
        <w:t>cted by emotional contagion. Because of collaborative information sharing in social media content, trust is developed among the customers resulting in collaborative buying decisions. The findings are similar to the study conducted on decision</w:t>
      </w:r>
      <w:r w:rsidR="00577CA9">
        <w:rPr>
          <w:rFonts w:eastAsia="Times New Roman"/>
        </w:rPr>
        <w:t>-</w:t>
      </w:r>
      <w:r>
        <w:rPr>
          <w:rFonts w:eastAsia="Times New Roman"/>
        </w:rPr>
        <w:t>making in social commerce platforms [60]. Proper scheduling and patterning of the content help the seller bring out the best possible outcome for the brand. The results showcased no direct relationship between emotional contagion and brand engagement, whereas emotional contagion indirectly impacts brand engagement by influencing the customer attitude and trust. The customer engagement factor encourages a commitment between the customer and seller, which results in a better association with the brand</w:t>
      </w:r>
      <w:r w:rsidR="00577CA9">
        <w:rPr>
          <w:rFonts w:eastAsia="Times New Roman"/>
        </w:rPr>
        <w:t>,</w:t>
      </w:r>
      <w:r>
        <w:rPr>
          <w:rFonts w:eastAsia="Times New Roman"/>
        </w:rPr>
        <w:t xml:space="preserve"> adding to repeat purchases and </w:t>
      </w:r>
      <w:r w:rsidR="00577CA9">
        <w:rPr>
          <w:rFonts w:eastAsia="Times New Roman"/>
        </w:rPr>
        <w:t xml:space="preserve">a </w:t>
      </w:r>
      <w:r>
        <w:rPr>
          <w:rFonts w:eastAsia="Times New Roman"/>
        </w:rPr>
        <w:t>loyal customer base.</w:t>
      </w:r>
    </w:p>
    <w:p w14:paraId="0F506624" w14:textId="2DAD6E64" w:rsidR="001836F2" w:rsidRPr="00505BE8" w:rsidRDefault="001836F2" w:rsidP="00505BE8">
      <w:pPr>
        <w:pStyle w:val="af5"/>
        <w:numPr>
          <w:ilvl w:val="0"/>
          <w:numId w:val="4"/>
        </w:numPr>
        <w:spacing w:beforeLines="100" w:before="360" w:afterLines="100" w:after="360" w:line="276" w:lineRule="auto"/>
        <w:jc w:val="center"/>
        <w:rPr>
          <w:rFonts w:ascii="Arial" w:eastAsia="Times New Roman" w:hAnsi="Arial" w:cs="Arial"/>
          <w:b/>
          <w:bCs/>
          <w:sz w:val="28"/>
          <w:szCs w:val="28"/>
        </w:rPr>
      </w:pPr>
      <w:r w:rsidRPr="00505BE8">
        <w:rPr>
          <w:rFonts w:ascii="Arial" w:eastAsia="Times New Roman" w:hAnsi="Arial" w:cs="Arial"/>
          <w:b/>
          <w:bCs/>
          <w:sz w:val="28"/>
          <w:szCs w:val="28"/>
        </w:rPr>
        <w:t>MANAGERIAL IMPLICATIONS, LIMITATIONS AND FUTURE SCOPE OF RESEARCH</w:t>
      </w:r>
    </w:p>
    <w:p w14:paraId="0AF301A7" w14:textId="3408D7DD" w:rsidR="004C6C4D" w:rsidRPr="00A57916" w:rsidRDefault="001836F2" w:rsidP="00505BE8">
      <w:pPr>
        <w:spacing w:line="276" w:lineRule="auto"/>
        <w:jc w:val="both"/>
        <w:rPr>
          <w:rFonts w:ascii="Arial" w:eastAsia="Times New Roman" w:hAnsi="Arial" w:cs="Arial"/>
          <w:b/>
          <w:color w:val="000000"/>
          <w:sz w:val="28"/>
          <w:szCs w:val="28"/>
        </w:rPr>
      </w:pPr>
      <w:r w:rsidRPr="00A57916">
        <w:rPr>
          <w:rFonts w:ascii="Arial" w:eastAsia="Times New Roman" w:hAnsi="Arial" w:cs="Arial"/>
          <w:b/>
          <w:color w:val="000000"/>
          <w:sz w:val="28"/>
          <w:szCs w:val="28"/>
        </w:rPr>
        <w:t>6.1. Managerial Implications</w:t>
      </w:r>
      <w:r w:rsidR="004C6C4D" w:rsidRPr="00A57916">
        <w:rPr>
          <w:rFonts w:ascii="Arial" w:eastAsia="Times New Roman" w:hAnsi="Arial" w:cs="Arial"/>
          <w:b/>
          <w:color w:val="000000"/>
          <w:sz w:val="28"/>
          <w:szCs w:val="28"/>
        </w:rPr>
        <w:t>:</w:t>
      </w:r>
    </w:p>
    <w:p w14:paraId="3266FD1C" w14:textId="7170CCEA" w:rsidR="004C6C4D" w:rsidRPr="00505BE8" w:rsidRDefault="001836F2" w:rsidP="00505BE8">
      <w:pPr>
        <w:spacing w:line="276" w:lineRule="auto"/>
        <w:ind w:firstLine="476"/>
        <w:jc w:val="both"/>
        <w:rPr>
          <w:rFonts w:eastAsiaTheme="minorEastAsia"/>
        </w:rPr>
      </w:pPr>
      <w:r>
        <w:rPr>
          <w:rFonts w:eastAsia="Times New Roman"/>
        </w:rPr>
        <w:t xml:space="preserve">The study proved that visual audio and video content trigger the emotions inside an individual. </w:t>
      </w:r>
      <w:r w:rsidR="00577CA9">
        <w:rPr>
          <w:rFonts w:eastAsia="Times New Roman"/>
        </w:rPr>
        <w:t>S</w:t>
      </w:r>
      <w:r>
        <w:rPr>
          <w:rFonts w:eastAsia="Times New Roman"/>
        </w:rPr>
        <w:t xml:space="preserve">imilar findings were observed by[61]. The </w:t>
      </w:r>
      <w:r w:rsidR="00577CA9">
        <w:rPr>
          <w:rFonts w:eastAsia="Times New Roman"/>
        </w:rPr>
        <w:t>study results</w:t>
      </w:r>
      <w:r>
        <w:rPr>
          <w:rFonts w:eastAsia="Times New Roman"/>
        </w:rPr>
        <w:t xml:space="preserve"> clearly state </w:t>
      </w:r>
      <w:r>
        <w:rPr>
          <w:rFonts w:eastAsia="Times New Roman"/>
          <w:color w:val="000000"/>
        </w:rPr>
        <w:lastRenderedPageBreak/>
        <w:t xml:space="preserve">that visual content has the most effect on contributing to emotional contagion. The emotional mining techniques help the content creator </w:t>
      </w:r>
      <w:r w:rsidR="00577CA9">
        <w:rPr>
          <w:rFonts w:eastAsia="Times New Roman"/>
          <w:color w:val="000000"/>
        </w:rPr>
        <w:t>understand the type of content to be created to promote</w:t>
      </w:r>
      <w:r>
        <w:rPr>
          <w:rFonts w:eastAsia="Times New Roman"/>
          <w:color w:val="000000"/>
        </w:rPr>
        <w:t xml:space="preserve"> the brand image. </w:t>
      </w:r>
      <w:r w:rsidR="00577CA9">
        <w:rPr>
          <w:rFonts w:eastAsia="Times New Roman"/>
          <w:color w:val="000000"/>
        </w:rPr>
        <w:t>The study cannot entirely rely on a single type of content in a practical situation</w:t>
      </w:r>
      <w:r>
        <w:rPr>
          <w:rFonts w:eastAsia="Times New Roman"/>
          <w:color w:val="000000"/>
        </w:rPr>
        <w:t>. The content used should be a mix of different categories, namely visual</w:t>
      </w:r>
      <w:r w:rsidR="00577CA9">
        <w:rPr>
          <w:rFonts w:eastAsia="Times New Roman"/>
          <w:color w:val="000000"/>
        </w:rPr>
        <w:t>, audio, and tex</w:t>
      </w:r>
      <w:r>
        <w:rPr>
          <w:rFonts w:eastAsia="Times New Roman"/>
          <w:color w:val="000000"/>
        </w:rPr>
        <w:t xml:space="preserve">t. The effectiveness relies </w:t>
      </w:r>
      <w:r w:rsidR="00577CA9">
        <w:rPr>
          <w:rFonts w:eastAsia="Times New Roman"/>
          <w:color w:val="000000"/>
        </w:rPr>
        <w:t>entir</w:t>
      </w:r>
      <w:r>
        <w:rPr>
          <w:rFonts w:eastAsia="Times New Roman"/>
          <w:color w:val="000000"/>
        </w:rPr>
        <w:t xml:space="preserve">ely on hitting the emotional spot of the viewer; the type of social media used by the viewer at the time also has a great impact on the </w:t>
      </w:r>
      <w:r w:rsidR="00577CA9">
        <w:rPr>
          <w:rFonts w:eastAsia="Times New Roman"/>
          <w:color w:val="000000"/>
        </w:rPr>
        <w:t>kind</w:t>
      </w:r>
      <w:r>
        <w:rPr>
          <w:rFonts w:eastAsia="Times New Roman"/>
          <w:color w:val="000000"/>
        </w:rPr>
        <w:t xml:space="preserve"> of content the advertiser or seller uses. </w:t>
      </w:r>
      <w:r w:rsidR="00577CA9">
        <w:rPr>
          <w:rFonts w:eastAsia="Times New Roman"/>
          <w:color w:val="000000"/>
        </w:rPr>
        <w:t>Entir</w:t>
      </w:r>
      <w:r>
        <w:rPr>
          <w:rFonts w:eastAsia="Times New Roman"/>
          <w:color w:val="000000"/>
        </w:rPr>
        <w:t xml:space="preserve">ely relying on the visual content for websites like Spotify is a </w:t>
      </w:r>
      <w:r w:rsidR="00577CA9">
        <w:rPr>
          <w:rFonts w:eastAsia="Times New Roman"/>
          <w:color w:val="000000"/>
        </w:rPr>
        <w:t>wrong</w:t>
      </w:r>
      <w:r>
        <w:rPr>
          <w:rFonts w:eastAsia="Times New Roman"/>
          <w:color w:val="000000"/>
        </w:rPr>
        <w:t xml:space="preserve"> decision and will affect the efficiency of the content. So custom targeted advertisements or content have to cover both the customer or viewer a</w:t>
      </w:r>
      <w:r w:rsidR="00577CA9">
        <w:rPr>
          <w:rFonts w:eastAsia="Times New Roman"/>
          <w:color w:val="000000"/>
        </w:rPr>
        <w:t>nd</w:t>
      </w:r>
      <w:r>
        <w:rPr>
          <w:rFonts w:eastAsia="Times New Roman"/>
          <w:color w:val="000000"/>
        </w:rPr>
        <w:t xml:space="preserve"> the platform as an attribute.</w:t>
      </w:r>
    </w:p>
    <w:p w14:paraId="73226DC8" w14:textId="13270FD0" w:rsidR="001836F2" w:rsidRPr="00A57916" w:rsidRDefault="004C6C4D" w:rsidP="00505BE8">
      <w:pPr>
        <w:spacing w:beforeLines="100" w:before="360" w:line="276" w:lineRule="auto"/>
        <w:jc w:val="both"/>
        <w:rPr>
          <w:rFonts w:ascii="Arial" w:eastAsia="Times New Roman" w:hAnsi="Arial" w:cs="Arial"/>
          <w:b/>
          <w:color w:val="000000"/>
          <w:sz w:val="28"/>
          <w:szCs w:val="28"/>
        </w:rPr>
      </w:pPr>
      <w:r w:rsidRPr="00A57916">
        <w:rPr>
          <w:rFonts w:ascii="Arial" w:eastAsia="Times New Roman" w:hAnsi="Arial" w:cs="Arial"/>
          <w:b/>
          <w:color w:val="000000"/>
          <w:sz w:val="28"/>
          <w:szCs w:val="28"/>
        </w:rPr>
        <w:t xml:space="preserve">6.2 </w:t>
      </w:r>
      <w:r w:rsidR="001836F2" w:rsidRPr="00A57916">
        <w:rPr>
          <w:rFonts w:ascii="Arial" w:eastAsia="Times New Roman" w:hAnsi="Arial" w:cs="Arial"/>
          <w:b/>
          <w:color w:val="000000"/>
          <w:sz w:val="28"/>
          <w:szCs w:val="28"/>
        </w:rPr>
        <w:t>Limitations</w:t>
      </w:r>
      <w:r w:rsidRPr="00A57916">
        <w:rPr>
          <w:rFonts w:ascii="Arial" w:eastAsia="Times New Roman" w:hAnsi="Arial" w:cs="Arial"/>
          <w:b/>
          <w:color w:val="000000"/>
          <w:sz w:val="28"/>
          <w:szCs w:val="28"/>
        </w:rPr>
        <w:t>:</w:t>
      </w:r>
    </w:p>
    <w:p w14:paraId="0ADA7D55" w14:textId="77777777" w:rsidR="001836F2" w:rsidRDefault="001836F2" w:rsidP="00505BE8">
      <w:pPr>
        <w:pBdr>
          <w:top w:val="nil"/>
          <w:left w:val="nil"/>
          <w:bottom w:val="nil"/>
          <w:right w:val="nil"/>
          <w:between w:val="nil"/>
        </w:pBdr>
        <w:spacing w:line="276" w:lineRule="auto"/>
        <w:ind w:firstLine="476"/>
        <w:jc w:val="both"/>
        <w:rPr>
          <w:rFonts w:eastAsia="Times New Roman"/>
        </w:rPr>
      </w:pPr>
      <w:r>
        <w:rPr>
          <w:rFonts w:eastAsia="Times New Roman"/>
        </w:rPr>
        <w:t>Emotional contagion is a social transmission in which a group's emotions and behaviour spread spontaneously. The present study focuses on social commerce platforms and their effect on emotion contagion behaviour. This study thus investigates a particular niche area through which communication occurs. The study is further limited in exploring the influence of emotional contagion on only customer attitude and trust.</w:t>
      </w:r>
    </w:p>
    <w:p w14:paraId="50EA0870" w14:textId="0F721E01" w:rsidR="001836F2" w:rsidRPr="00505BE8" w:rsidRDefault="001836F2" w:rsidP="00505BE8">
      <w:pPr>
        <w:spacing w:line="276" w:lineRule="auto"/>
        <w:jc w:val="both"/>
        <w:rPr>
          <w:rFonts w:eastAsiaTheme="minorEastAsia"/>
          <w:b/>
        </w:rPr>
      </w:pPr>
      <w:r>
        <w:rPr>
          <w:rFonts w:eastAsia="Times New Roman"/>
        </w:rPr>
        <w:t xml:space="preserve">Although the literature has revealed that these two factors are of prime importance, future studies can be encouraged to include elements like individual and interpersonal factors influencing group behaviour. Social commerce platforms have made it easier to see others' purchasing patterns, raising the chances of commencing herd behaviour. This topic was not explored in this study and could be investigated in </w:t>
      </w:r>
      <w:r w:rsidRPr="00982B22">
        <w:rPr>
          <w:rFonts w:eastAsia="Times New Roman"/>
        </w:rPr>
        <w:t>future</w:t>
      </w:r>
      <w:r>
        <w:rPr>
          <w:rFonts w:eastAsia="Times New Roman"/>
        </w:rPr>
        <w:t xml:space="preserve"> research.</w:t>
      </w:r>
    </w:p>
    <w:p w14:paraId="3D52873B" w14:textId="592FA057" w:rsidR="001836F2" w:rsidRPr="00A57916" w:rsidRDefault="004C6C4D" w:rsidP="00505BE8">
      <w:pPr>
        <w:spacing w:beforeLines="100" w:before="360" w:line="276" w:lineRule="auto"/>
        <w:jc w:val="both"/>
        <w:rPr>
          <w:rFonts w:ascii="Arial" w:eastAsia="Times New Roman" w:hAnsi="Arial" w:cs="Arial"/>
          <w:b/>
          <w:color w:val="000000"/>
          <w:sz w:val="28"/>
          <w:szCs w:val="28"/>
        </w:rPr>
      </w:pPr>
      <w:r w:rsidRPr="00A57916">
        <w:rPr>
          <w:rFonts w:ascii="Arial" w:eastAsia="Times New Roman" w:hAnsi="Arial" w:cs="Arial"/>
          <w:b/>
          <w:color w:val="000000"/>
          <w:sz w:val="28"/>
          <w:szCs w:val="28"/>
        </w:rPr>
        <w:t xml:space="preserve">6.3 </w:t>
      </w:r>
      <w:r w:rsidR="001836F2" w:rsidRPr="00A57916">
        <w:rPr>
          <w:rFonts w:ascii="Arial" w:eastAsia="Times New Roman" w:hAnsi="Arial" w:cs="Arial"/>
          <w:b/>
          <w:color w:val="000000"/>
          <w:sz w:val="28"/>
          <w:szCs w:val="28"/>
        </w:rPr>
        <w:t>Future scope of research</w:t>
      </w:r>
      <w:r w:rsidRPr="00A57916">
        <w:rPr>
          <w:rFonts w:ascii="Arial" w:eastAsia="Times New Roman" w:hAnsi="Arial" w:cs="Arial"/>
          <w:b/>
          <w:color w:val="000000"/>
          <w:sz w:val="28"/>
          <w:szCs w:val="28"/>
        </w:rPr>
        <w:t>:</w:t>
      </w:r>
    </w:p>
    <w:p w14:paraId="221AB468" w14:textId="417B5035" w:rsidR="001836F2" w:rsidRDefault="001836F2" w:rsidP="00505BE8">
      <w:pPr>
        <w:spacing w:line="276" w:lineRule="auto"/>
        <w:ind w:firstLine="476"/>
        <w:jc w:val="both"/>
        <w:rPr>
          <w:rFonts w:eastAsia="Times New Roman"/>
        </w:rPr>
      </w:pPr>
      <w:r>
        <w:rPr>
          <w:rFonts w:eastAsia="Times New Roman"/>
        </w:rPr>
        <w:t>More emotional contagion related studies can be conducted in different sectors and sector</w:t>
      </w:r>
      <w:r w:rsidR="00577CA9">
        <w:rPr>
          <w:rFonts w:eastAsia="Times New Roman"/>
        </w:rPr>
        <w:t>-</w:t>
      </w:r>
      <w:r>
        <w:rPr>
          <w:rFonts w:eastAsia="Times New Roman"/>
        </w:rPr>
        <w:t xml:space="preserve">specific marketing communications and campaigns. </w:t>
      </w:r>
      <w:r w:rsidR="00577CA9">
        <w:rPr>
          <w:rFonts w:eastAsia="Times New Roman"/>
        </w:rPr>
        <w:t>The i</w:t>
      </w:r>
      <w:r>
        <w:rPr>
          <w:rFonts w:eastAsia="Times New Roman"/>
        </w:rPr>
        <w:t xml:space="preserve">ntervention of more contextual variables like high involvement purchases, product life cycle stages can be inspected. All paths can also be checked for moderation by demographic variables. Small experiments on mediation models can also be planned. Emotional contagion is an </w:t>
      </w:r>
      <w:r w:rsidR="00577CA9">
        <w:rPr>
          <w:rFonts w:eastAsia="Times New Roman"/>
        </w:rPr>
        <w:t>exci</w:t>
      </w:r>
      <w:r>
        <w:rPr>
          <w:rFonts w:eastAsia="Times New Roman"/>
        </w:rPr>
        <w:t>ting term and is being explored in the domains of cognitive psychology, philosophy. Visual imagery can also be explored in many ways</w:t>
      </w:r>
      <w:r w:rsidR="00577CA9">
        <w:rPr>
          <w:rFonts w:eastAsia="Times New Roman"/>
        </w:rPr>
        <w:t>,</w:t>
      </w:r>
      <w:r>
        <w:rPr>
          <w:rFonts w:eastAsia="Times New Roman"/>
        </w:rPr>
        <w:t xml:space="preserve"> such as memory. Does more emotional involvement lead to stronger memory can also be probed. More emphasis can also be provided to explore the area of episodic memory.</w:t>
      </w:r>
      <w:r>
        <w:rPr>
          <w:rFonts w:eastAsia="Times New Roman"/>
        </w:rPr>
        <w:tab/>
      </w:r>
    </w:p>
    <w:p w14:paraId="45D80D7B" w14:textId="25FAAA91" w:rsidR="004C6C4D" w:rsidRPr="00982B22" w:rsidRDefault="00982B22" w:rsidP="00505BE8">
      <w:pPr>
        <w:spacing w:line="276" w:lineRule="auto"/>
        <w:jc w:val="both"/>
        <w:rPr>
          <w:rFonts w:eastAsiaTheme="minorEastAsia"/>
        </w:rPr>
      </w:pPr>
      <w:r>
        <w:rPr>
          <w:rFonts w:asciiTheme="minorEastAsia" w:eastAsiaTheme="minorEastAsia" w:hAnsiTheme="minorEastAsia" w:hint="eastAsia"/>
        </w:rPr>
        <w:lastRenderedPageBreak/>
        <w:t xml:space="preserve">    </w:t>
      </w:r>
      <w:r w:rsidR="001836F2">
        <w:rPr>
          <w:rFonts w:eastAsia="Times New Roman"/>
        </w:rPr>
        <w:t xml:space="preserve">Studies can also </w:t>
      </w:r>
      <w:r w:rsidR="00577CA9">
        <w:rPr>
          <w:rFonts w:eastAsia="Times New Roman"/>
        </w:rPr>
        <w:t>link</w:t>
      </w:r>
      <w:r w:rsidR="001836F2">
        <w:rPr>
          <w:rFonts w:eastAsia="Times New Roman"/>
        </w:rPr>
        <w:t xml:space="preserve"> music in retail atmospherics, sensory elements</w:t>
      </w:r>
      <w:r w:rsidR="00577CA9">
        <w:rPr>
          <w:rFonts w:eastAsia="Times New Roman"/>
        </w:rPr>
        <w:t>,</w:t>
      </w:r>
      <w:r w:rsidR="001836F2">
        <w:rPr>
          <w:rFonts w:eastAsia="Times New Roman"/>
        </w:rPr>
        <w:t xml:space="preserve"> and emotional involvement. Also</w:t>
      </w:r>
      <w:r w:rsidR="00577CA9">
        <w:rPr>
          <w:rFonts w:eastAsia="Times New Roman"/>
        </w:rPr>
        <w:t>, the soothing effect on clinical patients by music triggering emotions can also be probed in the healthcare sector</w:t>
      </w:r>
      <w:r w:rsidR="001836F2">
        <w:rPr>
          <w:rFonts w:eastAsia="Times New Roman"/>
        </w:rPr>
        <w:t>. Previous research argue</w:t>
      </w:r>
      <w:r w:rsidR="00577CA9">
        <w:rPr>
          <w:rFonts w:eastAsia="Times New Roman"/>
        </w:rPr>
        <w:t>s</w:t>
      </w:r>
      <w:r w:rsidR="001836F2">
        <w:rPr>
          <w:rFonts w:eastAsia="Times New Roman"/>
        </w:rPr>
        <w:t xml:space="preserve"> that we need not test </w:t>
      </w:r>
      <w:r w:rsidR="00577CA9">
        <w:rPr>
          <w:rFonts w:eastAsia="Times New Roman"/>
        </w:rPr>
        <w:t xml:space="preserve">the </w:t>
      </w:r>
      <w:r w:rsidR="001836F2">
        <w:rPr>
          <w:rFonts w:eastAsia="Times New Roman"/>
        </w:rPr>
        <w:t>linkage of visual imagery with emotional contagion. It further stated that audio content c</w:t>
      </w:r>
      <w:r w:rsidR="00577CA9">
        <w:rPr>
          <w:rFonts w:eastAsia="Times New Roman"/>
        </w:rPr>
        <w:t>ould</w:t>
      </w:r>
      <w:r w:rsidR="001836F2">
        <w:rPr>
          <w:rFonts w:eastAsia="Times New Roman"/>
        </w:rPr>
        <w:t xml:space="preserve"> also trigger visual imagery leading to emotion development and later emotional attachment [62]. More studies can also be conducted validating cross</w:t>
      </w:r>
      <w:r w:rsidR="00577CA9">
        <w:rPr>
          <w:rFonts w:eastAsia="Times New Roman"/>
        </w:rPr>
        <w:t>-</w:t>
      </w:r>
      <w:r w:rsidR="001836F2">
        <w:rPr>
          <w:rFonts w:eastAsia="Times New Roman"/>
        </w:rPr>
        <w:t>sectoral applications and findings.</w:t>
      </w:r>
    </w:p>
    <w:p w14:paraId="5EBB76BF" w14:textId="52547A20" w:rsidR="00950321" w:rsidRPr="00982B22" w:rsidRDefault="00950321" w:rsidP="00982B22">
      <w:pPr>
        <w:pStyle w:val="Web"/>
        <w:numPr>
          <w:ilvl w:val="0"/>
          <w:numId w:val="4"/>
        </w:numPr>
        <w:snapToGrid w:val="0"/>
        <w:spacing w:beforeLines="100" w:before="360" w:beforeAutospacing="0" w:afterLines="100" w:after="360" w:afterAutospacing="0" w:line="276" w:lineRule="auto"/>
        <w:jc w:val="center"/>
        <w:textAlignment w:val="top"/>
        <w:rPr>
          <w:rFonts w:ascii="Arial" w:eastAsia="新細明體" w:hAnsi="Arial" w:cs="Arial"/>
          <w:b/>
          <w:bCs/>
          <w:sz w:val="28"/>
          <w:szCs w:val="28"/>
        </w:rPr>
      </w:pPr>
      <w:r w:rsidRPr="00C35559">
        <w:rPr>
          <w:rFonts w:ascii="Arial" w:eastAsia="新細明體" w:hAnsi="Arial" w:cs="Arial"/>
          <w:b/>
          <w:bCs/>
          <w:sz w:val="28"/>
          <w:szCs w:val="28"/>
        </w:rPr>
        <w:t>REFERENCES</w:t>
      </w:r>
    </w:p>
    <w:p w14:paraId="6055C5EF" w14:textId="0D415F86"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Y. Chen, S. Fay, and Q. Wang, </w:t>
      </w:r>
      <w:r w:rsidR="00577CA9" w:rsidRPr="00982B22">
        <w:rPr>
          <w:rFonts w:eastAsiaTheme="minorEastAsia"/>
          <w:kern w:val="0"/>
          <w:lang w:eastAsia="en-US"/>
        </w:rPr>
        <w:t>"</w:t>
      </w:r>
      <w:r w:rsidRPr="00982B22">
        <w:rPr>
          <w:rFonts w:eastAsiaTheme="minorEastAsia"/>
          <w:kern w:val="0"/>
          <w:lang w:eastAsia="en-US"/>
        </w:rPr>
        <w:t>The role of marketing in social media: How online consumer reviews evolve,</w:t>
      </w:r>
      <w:r w:rsidR="00577CA9" w:rsidRPr="00982B22">
        <w:rPr>
          <w:rFonts w:eastAsiaTheme="minorEastAsia"/>
          <w:kern w:val="0"/>
          <w:lang w:eastAsia="en-US"/>
        </w:rPr>
        <w:t>"</w:t>
      </w:r>
      <w:r w:rsidRPr="00982B22">
        <w:rPr>
          <w:rFonts w:eastAsiaTheme="minorEastAsia"/>
          <w:kern w:val="0"/>
          <w:lang w:eastAsia="en-US"/>
        </w:rPr>
        <w:t> </w:t>
      </w:r>
      <w:r w:rsidRPr="000766DB">
        <w:rPr>
          <w:rFonts w:eastAsiaTheme="minorEastAsia"/>
          <w:i/>
          <w:iCs/>
          <w:kern w:val="0"/>
          <w:lang w:eastAsia="en-US"/>
        </w:rPr>
        <w:t>J. Interact. Mark</w:t>
      </w:r>
      <w:r w:rsidRPr="00982B22">
        <w:rPr>
          <w:rFonts w:eastAsiaTheme="minorEastAsia"/>
          <w:kern w:val="0"/>
          <w:lang w:eastAsia="en-US"/>
        </w:rPr>
        <w:t>., vol. 25, no. 2, pp. 85–94, 2011.</w:t>
      </w:r>
    </w:p>
    <w:p w14:paraId="55974793" w14:textId="5326F57F"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bookmarkStart w:id="0" w:name="_Hlk90473264"/>
      <w:r w:rsidRPr="005A41A1">
        <w:rPr>
          <w:rFonts w:eastAsiaTheme="minorEastAsia"/>
          <w:kern w:val="0"/>
          <w:lang w:eastAsia="en-US"/>
        </w:rPr>
        <w:t>H</w:t>
      </w:r>
      <w:r w:rsidRPr="00982B22">
        <w:rPr>
          <w:rFonts w:eastAsiaTheme="minorEastAsia"/>
          <w:kern w:val="0"/>
          <w:lang w:eastAsia="en-US"/>
        </w:rPr>
        <w:t>. H. A. H., C. N. Wickramasinghe, and R. S</w:t>
      </w:r>
      <w:bookmarkEnd w:id="0"/>
      <w:r w:rsidR="005A41A1">
        <w:rPr>
          <w:rFonts w:eastAsiaTheme="minorEastAsia"/>
          <w:kern w:val="0"/>
          <w:lang w:eastAsia="en-US"/>
        </w:rPr>
        <w:t xml:space="preserve">, </w:t>
      </w:r>
      <w:r w:rsidR="005A41A1" w:rsidRPr="00982B22">
        <w:rPr>
          <w:rFonts w:eastAsiaTheme="minorEastAsia"/>
          <w:kern w:val="0"/>
          <w:lang w:eastAsia="en-US"/>
        </w:rPr>
        <w:t>"</w:t>
      </w:r>
      <w:r w:rsidR="005A41A1" w:rsidRPr="005A41A1">
        <w:rPr>
          <w:rFonts w:eastAsiaTheme="minorEastAsia"/>
          <w:kern w:val="0"/>
          <w:lang w:eastAsia="en-US"/>
        </w:rPr>
        <w:t>T</w:t>
      </w:r>
      <w:r w:rsidR="005A41A1" w:rsidRPr="005A41A1">
        <w:rPr>
          <w:rFonts w:eastAsiaTheme="minorEastAsia"/>
          <w:kern w:val="0"/>
          <w:lang w:eastAsia="en-US"/>
        </w:rPr>
        <w:t>he influence of social commerce on consumer decisions</w:t>
      </w:r>
      <w:r w:rsidR="005A41A1" w:rsidRPr="00982B22">
        <w:rPr>
          <w:rFonts w:eastAsiaTheme="minorEastAsia"/>
          <w:kern w:val="0"/>
          <w:lang w:eastAsia="en-US"/>
        </w:rPr>
        <w:t>"</w:t>
      </w:r>
      <w:r w:rsidR="005A41A1">
        <w:rPr>
          <w:rFonts w:eastAsiaTheme="minorEastAsia"/>
          <w:kern w:val="0"/>
          <w:lang w:eastAsia="en-US"/>
        </w:rPr>
        <w:t xml:space="preserve">, </w:t>
      </w:r>
      <w:r w:rsidR="005A41A1" w:rsidRPr="005A41A1">
        <w:rPr>
          <w:rFonts w:eastAsiaTheme="minorEastAsia"/>
          <w:i/>
          <w:iCs/>
          <w:kern w:val="0"/>
          <w:lang w:eastAsia="en-US"/>
        </w:rPr>
        <w:t>T</w:t>
      </w:r>
      <w:r w:rsidR="005A41A1" w:rsidRPr="005A41A1">
        <w:rPr>
          <w:rFonts w:eastAsiaTheme="minorEastAsia"/>
          <w:i/>
          <w:iCs/>
          <w:kern w:val="0"/>
          <w:lang w:eastAsia="en-US"/>
        </w:rPr>
        <w:t>he international technology management revie</w:t>
      </w:r>
      <w:r w:rsidR="005A41A1" w:rsidRPr="005A41A1">
        <w:rPr>
          <w:rFonts w:eastAsiaTheme="minorEastAsia"/>
          <w:i/>
          <w:iCs/>
          <w:kern w:val="0"/>
          <w:lang w:eastAsia="en-US"/>
        </w:rPr>
        <w:t>w</w:t>
      </w:r>
      <w:r w:rsidR="005A41A1" w:rsidRPr="00982B22">
        <w:rPr>
          <w:rFonts w:eastAsiaTheme="minorEastAsia"/>
          <w:kern w:val="0"/>
          <w:lang w:eastAsia="en-US"/>
        </w:rPr>
        <w:t xml:space="preserve">, vol. </w:t>
      </w:r>
      <w:r w:rsidR="005A41A1">
        <w:rPr>
          <w:rFonts w:eastAsiaTheme="minorEastAsia"/>
          <w:kern w:val="0"/>
          <w:lang w:eastAsia="en-US"/>
        </w:rPr>
        <w:t>7, no.1</w:t>
      </w:r>
      <w:r w:rsidR="005A41A1" w:rsidRPr="00982B22">
        <w:rPr>
          <w:rFonts w:eastAsiaTheme="minorEastAsia"/>
          <w:kern w:val="0"/>
          <w:lang w:eastAsia="en-US"/>
        </w:rPr>
        <w:t xml:space="preserve">, pp. </w:t>
      </w:r>
      <w:r w:rsidR="005A41A1">
        <w:rPr>
          <w:rFonts w:eastAsiaTheme="minorEastAsia"/>
          <w:kern w:val="0"/>
          <w:lang w:eastAsia="en-US"/>
        </w:rPr>
        <w:t>47</w:t>
      </w:r>
      <w:r w:rsidR="005A41A1" w:rsidRPr="00982B22">
        <w:rPr>
          <w:rFonts w:eastAsiaTheme="minorEastAsia"/>
          <w:kern w:val="0"/>
          <w:lang w:eastAsia="en-US"/>
        </w:rPr>
        <w:t>–</w:t>
      </w:r>
      <w:r w:rsidR="005A41A1">
        <w:rPr>
          <w:rFonts w:eastAsiaTheme="minorEastAsia"/>
          <w:kern w:val="0"/>
          <w:lang w:eastAsia="en-US"/>
        </w:rPr>
        <w:t>58</w:t>
      </w:r>
      <w:r w:rsidR="005A41A1" w:rsidRPr="00982B22">
        <w:rPr>
          <w:rFonts w:eastAsiaTheme="minorEastAsia"/>
          <w:kern w:val="0"/>
          <w:lang w:eastAsia="en-US"/>
        </w:rPr>
        <w:t>, 201</w:t>
      </w:r>
      <w:r w:rsidR="005A41A1">
        <w:rPr>
          <w:rFonts w:eastAsiaTheme="minorEastAsia"/>
          <w:kern w:val="0"/>
          <w:lang w:eastAsia="en-US"/>
        </w:rPr>
        <w:t>8</w:t>
      </w:r>
      <w:r w:rsidR="005A41A1" w:rsidRPr="00982B22">
        <w:rPr>
          <w:rFonts w:eastAsiaTheme="minorEastAsia"/>
          <w:kern w:val="0"/>
          <w:lang w:eastAsia="en-US"/>
        </w:rPr>
        <w:t>.</w:t>
      </w:r>
    </w:p>
    <w:p w14:paraId="27A1C5DE" w14:textId="5AF017FD" w:rsidR="004C6C4D" w:rsidRPr="00E0131D" w:rsidRDefault="004C6C4D" w:rsidP="00E0131D">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J. Wong</w:t>
      </w:r>
      <w:r w:rsidR="00E0131D">
        <w:rPr>
          <w:rFonts w:eastAsiaTheme="minorEastAsia" w:hint="eastAsia"/>
          <w:kern w:val="0"/>
        </w:rPr>
        <w:t>.(2021,</w:t>
      </w:r>
      <w:r w:rsidR="00E0131D">
        <w:rPr>
          <w:rFonts w:eastAsiaTheme="minorEastAsia"/>
          <w:kern w:val="0"/>
        </w:rPr>
        <w:t xml:space="preserve"> Dec. 03</w:t>
      </w:r>
      <w:r w:rsidR="00E0131D">
        <w:rPr>
          <w:rFonts w:eastAsiaTheme="minorEastAsia" w:hint="eastAsia"/>
          <w:kern w:val="0"/>
        </w:rPr>
        <w:t>)</w:t>
      </w:r>
      <w:r w:rsidR="00E0131D">
        <w:rPr>
          <w:rFonts w:eastAsiaTheme="minorEastAsia"/>
          <w:kern w:val="0"/>
          <w:lang w:eastAsia="en-US"/>
        </w:rPr>
        <w:t xml:space="preserve">. </w:t>
      </w:r>
      <w:r w:rsidRPr="00982B22">
        <w:rPr>
          <w:rFonts w:eastAsiaTheme="minorEastAsia"/>
          <w:kern w:val="0"/>
          <w:lang w:eastAsia="en-US"/>
        </w:rPr>
        <w:t>The latest E-commerce trend: What you need to know about social commerce</w:t>
      </w:r>
      <w:r w:rsidR="00E0131D">
        <w:rPr>
          <w:rFonts w:eastAsiaTheme="minorEastAsia"/>
          <w:kern w:val="0"/>
          <w:lang w:eastAsia="en-US"/>
        </w:rPr>
        <w:t xml:space="preserve"> </w:t>
      </w:r>
      <w:r w:rsidR="00E0131D" w:rsidRPr="00982B22">
        <w:rPr>
          <w:rFonts w:eastAsiaTheme="minorEastAsia"/>
          <w:kern w:val="0"/>
          <w:lang w:eastAsia="en-US"/>
        </w:rPr>
        <w:t>[Online].</w:t>
      </w:r>
      <w:r w:rsidR="00E0131D">
        <w:rPr>
          <w:rFonts w:eastAsiaTheme="minorEastAsia" w:hint="eastAsia"/>
          <w:kern w:val="0"/>
        </w:rPr>
        <w:t xml:space="preserve"> </w:t>
      </w:r>
      <w:r w:rsidR="00E0131D" w:rsidRPr="00982B22">
        <w:rPr>
          <w:rFonts w:eastAsiaTheme="minorEastAsia"/>
          <w:kern w:val="0"/>
          <w:lang w:eastAsia="en-US"/>
        </w:rPr>
        <w:t>Available:</w:t>
      </w:r>
      <w:r w:rsidR="00E0131D">
        <w:rPr>
          <w:rFonts w:eastAsiaTheme="minorEastAsia" w:hint="eastAsia"/>
          <w:kern w:val="0"/>
        </w:rPr>
        <w:t xml:space="preserve"> </w:t>
      </w:r>
      <w:r w:rsidR="00E0131D" w:rsidRPr="00E0131D">
        <w:rPr>
          <w:rFonts w:eastAsiaTheme="minorEastAsia"/>
          <w:kern w:val="0"/>
          <w:lang w:eastAsia="en-US"/>
        </w:rPr>
        <w:t>https://www.forbes.com/sites/forbescommunicationscouncil/2021/12/03/the-latest-e-commerce-trend-what-you-need-to-know-about-social-commerce/?sh=3dded660753b</w:t>
      </w:r>
    </w:p>
    <w:p w14:paraId="0430ABF8" w14:textId="4581B4AA"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J. Laing</w:t>
      </w:r>
      <w:r w:rsidR="00E0131D">
        <w:rPr>
          <w:rFonts w:eastAsiaTheme="minorEastAsia"/>
          <w:kern w:val="0"/>
          <w:lang w:eastAsia="en-US"/>
        </w:rPr>
        <w:t>.</w:t>
      </w:r>
      <w:r w:rsidR="00E0131D" w:rsidRPr="00E0131D">
        <w:rPr>
          <w:rFonts w:eastAsiaTheme="minorEastAsia" w:hint="eastAsia"/>
          <w:kern w:val="0"/>
        </w:rPr>
        <w:t xml:space="preserve"> </w:t>
      </w:r>
      <w:r w:rsidR="00E0131D">
        <w:rPr>
          <w:rFonts w:eastAsiaTheme="minorEastAsia" w:hint="eastAsia"/>
          <w:kern w:val="0"/>
        </w:rPr>
        <w:t>(2021,</w:t>
      </w:r>
      <w:r w:rsidR="00E0131D">
        <w:rPr>
          <w:rFonts w:eastAsiaTheme="minorEastAsia"/>
          <w:kern w:val="0"/>
        </w:rPr>
        <w:t xml:space="preserve"> </w:t>
      </w:r>
      <w:r w:rsidR="00E0131D">
        <w:rPr>
          <w:rFonts w:eastAsiaTheme="minorEastAsia"/>
          <w:kern w:val="0"/>
        </w:rPr>
        <w:t>Jan</w:t>
      </w:r>
      <w:r w:rsidR="00E0131D">
        <w:rPr>
          <w:rFonts w:eastAsiaTheme="minorEastAsia"/>
          <w:kern w:val="0"/>
        </w:rPr>
        <w:t xml:space="preserve">. </w:t>
      </w:r>
      <w:r w:rsidR="00E0131D">
        <w:rPr>
          <w:rFonts w:eastAsiaTheme="minorEastAsia"/>
          <w:kern w:val="0"/>
        </w:rPr>
        <w:t>12</w:t>
      </w:r>
      <w:r w:rsidR="00E0131D">
        <w:rPr>
          <w:rFonts w:eastAsiaTheme="minorEastAsia" w:hint="eastAsia"/>
          <w:kern w:val="0"/>
        </w:rPr>
        <w:t>)</w:t>
      </w:r>
      <w:r w:rsidR="00E0131D">
        <w:rPr>
          <w:rFonts w:eastAsiaTheme="minorEastAsia"/>
          <w:kern w:val="0"/>
          <w:lang w:eastAsia="en-US"/>
        </w:rPr>
        <w:t>.</w:t>
      </w:r>
      <w:r w:rsidR="00E0131D">
        <w:rPr>
          <w:rFonts w:eastAsiaTheme="minorEastAsia"/>
          <w:kern w:val="0"/>
          <w:lang w:eastAsia="en-US"/>
        </w:rPr>
        <w:t xml:space="preserve"> </w:t>
      </w:r>
      <w:r w:rsidRPr="00982B22">
        <w:rPr>
          <w:rFonts w:eastAsiaTheme="minorEastAsia"/>
          <w:kern w:val="0"/>
          <w:lang w:eastAsia="en-US"/>
        </w:rPr>
        <w:t>What is social commerce? Definition, examples, stats</w:t>
      </w:r>
      <w:r w:rsidR="00E0131D">
        <w:rPr>
          <w:rFonts w:eastAsiaTheme="minorEastAsia"/>
          <w:kern w:val="0"/>
          <w:lang w:eastAsia="en-US"/>
        </w:rPr>
        <w:t xml:space="preserve"> </w:t>
      </w:r>
      <w:r w:rsidR="00E0131D" w:rsidRPr="00982B22">
        <w:rPr>
          <w:rFonts w:eastAsiaTheme="minorEastAsia"/>
          <w:kern w:val="0"/>
          <w:lang w:eastAsia="en-US"/>
        </w:rPr>
        <w:t>[Online].</w:t>
      </w:r>
      <w:r w:rsidR="00E0131D">
        <w:rPr>
          <w:rFonts w:eastAsiaTheme="minorEastAsia" w:hint="eastAsia"/>
          <w:kern w:val="0"/>
        </w:rPr>
        <w:t xml:space="preserve"> </w:t>
      </w:r>
      <w:r w:rsidR="00E0131D" w:rsidRPr="00982B22">
        <w:rPr>
          <w:rFonts w:eastAsiaTheme="minorEastAsia"/>
          <w:kern w:val="0"/>
          <w:lang w:eastAsia="en-US"/>
        </w:rPr>
        <w:t>Available:</w:t>
      </w:r>
      <w:r w:rsidR="00E0131D">
        <w:rPr>
          <w:rFonts w:eastAsiaTheme="minorEastAsia" w:hint="eastAsia"/>
          <w:kern w:val="0"/>
        </w:rPr>
        <w:t xml:space="preserve"> </w:t>
      </w:r>
      <w:r w:rsidR="00E0131D" w:rsidRPr="00E0131D">
        <w:rPr>
          <w:rFonts w:eastAsiaTheme="minorEastAsia"/>
          <w:kern w:val="0"/>
          <w:lang w:eastAsia="en-US"/>
        </w:rPr>
        <w:t>https://www.the-future-of-commerce.com/2021/01/12/what-is-social-commerce/</w:t>
      </w:r>
    </w:p>
    <w:p w14:paraId="5A420629" w14:textId="602F6064" w:rsidR="004C6C4D" w:rsidRPr="00350284" w:rsidRDefault="004C6C4D" w:rsidP="00350284">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350284">
        <w:rPr>
          <w:rFonts w:eastAsiaTheme="minorEastAsia"/>
          <w:kern w:val="0"/>
          <w:lang w:eastAsia="en-US"/>
        </w:rPr>
        <w:t>J</w:t>
      </w:r>
      <w:r w:rsidRPr="00982B22">
        <w:rPr>
          <w:rFonts w:eastAsiaTheme="minorEastAsia"/>
          <w:kern w:val="0"/>
          <w:lang w:eastAsia="en-US"/>
        </w:rPr>
        <w:t>. Qiu,</w:t>
      </w:r>
      <w:r w:rsidR="00350284">
        <w:rPr>
          <w:rFonts w:eastAsiaTheme="minorEastAsia"/>
          <w:kern w:val="0"/>
          <w:lang w:eastAsia="en-US"/>
        </w:rPr>
        <w:t xml:space="preserve"> Y. Li, and Z. Lin</w:t>
      </w:r>
      <w:r w:rsidR="00350284" w:rsidRPr="00982B22">
        <w:rPr>
          <w:rFonts w:eastAsiaTheme="minorEastAsia"/>
          <w:kern w:val="0"/>
          <w:lang w:eastAsia="en-US"/>
        </w:rPr>
        <w:t>, "</w:t>
      </w:r>
      <w:r w:rsidR="00350284" w:rsidRPr="00350284">
        <w:rPr>
          <w:rFonts w:eastAsiaTheme="minorEastAsia"/>
          <w:kern w:val="0"/>
          <w:lang w:eastAsia="en-US"/>
        </w:rPr>
        <w:t>D</w:t>
      </w:r>
      <w:r w:rsidR="00350284" w:rsidRPr="00350284">
        <w:rPr>
          <w:rFonts w:eastAsiaTheme="minorEastAsia"/>
          <w:kern w:val="0"/>
          <w:lang w:eastAsia="en-US"/>
        </w:rPr>
        <w:t>etecting social commerce: an empirical analysis on yelp</w:t>
      </w:r>
      <w:r w:rsidR="00350284" w:rsidRPr="00982B22">
        <w:rPr>
          <w:rFonts w:eastAsiaTheme="minorEastAsia"/>
          <w:kern w:val="0"/>
          <w:lang w:eastAsia="en-US"/>
        </w:rPr>
        <w:t>,"</w:t>
      </w:r>
      <w:r w:rsidR="00350284" w:rsidRPr="00350284">
        <w:t xml:space="preserve"> </w:t>
      </w:r>
      <w:r w:rsidR="00350284" w:rsidRPr="00350284">
        <w:rPr>
          <w:rFonts w:eastAsiaTheme="minorEastAsia"/>
          <w:i/>
          <w:iCs/>
          <w:kern w:val="0"/>
          <w:lang w:eastAsia="en-US"/>
        </w:rPr>
        <w:t>Journal of Electronic Commerce Research</w:t>
      </w:r>
      <w:r w:rsidR="00350284" w:rsidRPr="00982B22">
        <w:rPr>
          <w:rFonts w:eastAsiaTheme="minorEastAsia"/>
          <w:kern w:val="0"/>
          <w:lang w:eastAsia="en-US"/>
        </w:rPr>
        <w:t xml:space="preserve">, vol. </w:t>
      </w:r>
      <w:r w:rsidR="00350284">
        <w:rPr>
          <w:rFonts w:eastAsiaTheme="minorEastAsia"/>
          <w:kern w:val="0"/>
          <w:lang w:eastAsia="en-US"/>
        </w:rPr>
        <w:t>21</w:t>
      </w:r>
      <w:r w:rsidR="00350284" w:rsidRPr="00982B22">
        <w:rPr>
          <w:rFonts w:eastAsiaTheme="minorEastAsia"/>
          <w:kern w:val="0"/>
          <w:lang w:eastAsia="en-US"/>
        </w:rPr>
        <w:t xml:space="preserve">, </w:t>
      </w:r>
      <w:r w:rsidR="00350284">
        <w:rPr>
          <w:rFonts w:eastAsiaTheme="minorEastAsia"/>
          <w:kern w:val="0"/>
          <w:lang w:eastAsia="en-US"/>
        </w:rPr>
        <w:t xml:space="preserve">no.3, </w:t>
      </w:r>
      <w:r w:rsidR="00350284" w:rsidRPr="00982B22">
        <w:rPr>
          <w:rFonts w:eastAsiaTheme="minorEastAsia"/>
          <w:kern w:val="0"/>
          <w:lang w:eastAsia="en-US"/>
        </w:rPr>
        <w:t>pp. 16</w:t>
      </w:r>
      <w:r w:rsidR="00350284">
        <w:rPr>
          <w:rFonts w:eastAsiaTheme="minorEastAsia"/>
          <w:kern w:val="0"/>
          <w:lang w:eastAsia="en-US"/>
        </w:rPr>
        <w:t>8</w:t>
      </w:r>
      <w:r w:rsidR="00350284" w:rsidRPr="00982B22">
        <w:rPr>
          <w:rFonts w:eastAsiaTheme="minorEastAsia"/>
          <w:kern w:val="0"/>
          <w:lang w:eastAsia="en-US"/>
        </w:rPr>
        <w:t>–17</w:t>
      </w:r>
      <w:r w:rsidR="00350284">
        <w:rPr>
          <w:rFonts w:eastAsiaTheme="minorEastAsia"/>
          <w:kern w:val="0"/>
          <w:lang w:eastAsia="en-US"/>
        </w:rPr>
        <w:t>9</w:t>
      </w:r>
      <w:r w:rsidR="00350284" w:rsidRPr="00982B22">
        <w:rPr>
          <w:rFonts w:eastAsiaTheme="minorEastAsia"/>
          <w:kern w:val="0"/>
          <w:lang w:eastAsia="en-US"/>
        </w:rPr>
        <w:t>, 20</w:t>
      </w:r>
      <w:r w:rsidR="00350284">
        <w:rPr>
          <w:rFonts w:eastAsiaTheme="minorEastAsia"/>
          <w:kern w:val="0"/>
          <w:lang w:eastAsia="en-US"/>
        </w:rPr>
        <w:t>20</w:t>
      </w:r>
      <w:r w:rsidR="00350284" w:rsidRPr="00982B22">
        <w:rPr>
          <w:rFonts w:eastAsiaTheme="minorEastAsia"/>
          <w:kern w:val="0"/>
          <w:lang w:eastAsia="en-US"/>
        </w:rPr>
        <w:t>.</w:t>
      </w:r>
    </w:p>
    <w:p w14:paraId="31F32E29" w14:textId="4AD34D13"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X. Wang, X. Lin, and M. K. Spencer, </w:t>
      </w:r>
      <w:r w:rsidR="00577CA9" w:rsidRPr="00982B22">
        <w:rPr>
          <w:rFonts w:eastAsiaTheme="minorEastAsia"/>
          <w:kern w:val="0"/>
          <w:lang w:eastAsia="en-US"/>
        </w:rPr>
        <w:t>"</w:t>
      </w:r>
      <w:r w:rsidRPr="00982B22">
        <w:rPr>
          <w:rFonts w:eastAsiaTheme="minorEastAsia"/>
          <w:kern w:val="0"/>
          <w:lang w:eastAsia="en-US"/>
        </w:rPr>
        <w:t>Exploring the effects of extrinsic motivation on consumer behaviors in social commerce: Revealing consumers</w:t>
      </w:r>
      <w:r w:rsidR="00577CA9" w:rsidRPr="00982B22">
        <w:rPr>
          <w:rFonts w:eastAsiaTheme="minorEastAsia"/>
          <w:kern w:val="0"/>
          <w:lang w:eastAsia="en-US"/>
        </w:rPr>
        <w:t>'</w:t>
      </w:r>
      <w:r w:rsidRPr="00982B22">
        <w:rPr>
          <w:rFonts w:eastAsiaTheme="minorEastAsia"/>
          <w:kern w:val="0"/>
          <w:lang w:eastAsia="en-US"/>
        </w:rPr>
        <w:t xml:space="preserve"> perceptions of social commerce benefits,</w:t>
      </w:r>
      <w:r w:rsidR="00577CA9" w:rsidRPr="00982B22">
        <w:rPr>
          <w:rFonts w:eastAsiaTheme="minorEastAsia"/>
          <w:kern w:val="0"/>
          <w:lang w:eastAsia="en-US"/>
        </w:rPr>
        <w:t>"</w:t>
      </w:r>
      <w:r w:rsidRPr="00E0131D">
        <w:rPr>
          <w:rFonts w:eastAsiaTheme="minorEastAsia"/>
          <w:i/>
          <w:iCs/>
          <w:kern w:val="0"/>
          <w:lang w:eastAsia="en-US"/>
        </w:rPr>
        <w:t xml:space="preserve"> Int. J. Inf. Manage</w:t>
      </w:r>
      <w:r w:rsidRPr="00982B22">
        <w:rPr>
          <w:rFonts w:eastAsiaTheme="minorEastAsia"/>
          <w:kern w:val="0"/>
          <w:lang w:eastAsia="en-US"/>
        </w:rPr>
        <w:t>., vol. 45, pp. 163–175, 2019.</w:t>
      </w:r>
    </w:p>
    <w:p w14:paraId="593E9783" w14:textId="748B2A6F"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EA7299">
        <w:rPr>
          <w:rFonts w:eastAsiaTheme="minorEastAsia"/>
          <w:kern w:val="0"/>
          <w:lang w:eastAsia="en-US"/>
        </w:rPr>
        <w:t>Z</w:t>
      </w:r>
      <w:r w:rsidRPr="00982B22">
        <w:rPr>
          <w:rFonts w:eastAsiaTheme="minorEastAsia"/>
          <w:kern w:val="0"/>
          <w:lang w:eastAsia="en-US"/>
        </w:rPr>
        <w:t xml:space="preserve">. Eitan, </w:t>
      </w:r>
      <w:r w:rsidR="00577CA9" w:rsidRPr="00982B22">
        <w:rPr>
          <w:rFonts w:eastAsiaTheme="minorEastAsia"/>
          <w:kern w:val="0"/>
          <w:lang w:eastAsia="en-US"/>
        </w:rPr>
        <w:t>"</w:t>
      </w:r>
      <w:r w:rsidRPr="00982B22">
        <w:rPr>
          <w:rFonts w:eastAsiaTheme="minorEastAsia"/>
          <w:kern w:val="0"/>
          <w:lang w:eastAsia="en-US"/>
        </w:rPr>
        <w:t>Musical Connections</w:t>
      </w:r>
      <w:r w:rsidR="00EA7299">
        <w:rPr>
          <w:rFonts w:eastAsiaTheme="minorEastAsia"/>
          <w:kern w:val="0"/>
          <w:lang w:eastAsia="en-US"/>
        </w:rPr>
        <w:t>.</w:t>
      </w:r>
      <w:r w:rsidRPr="00982B22">
        <w:rPr>
          <w:rFonts w:eastAsiaTheme="minorEastAsia"/>
          <w:kern w:val="0"/>
          <w:lang w:eastAsia="en-US"/>
        </w:rPr>
        <w:t xml:space="preserve"> The Routledge Companion to Music Cognition, New York : Routledge, 2017</w:t>
      </w:r>
      <w:r w:rsidR="00EA7299">
        <w:rPr>
          <w:rFonts w:eastAsiaTheme="minorEastAsia"/>
          <w:kern w:val="0"/>
          <w:lang w:eastAsia="en-US"/>
        </w:rPr>
        <w:t>.</w:t>
      </w:r>
    </w:p>
    <w:p w14:paraId="51475468" w14:textId="5188AB21"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C. Herrando and E. Constantinides, </w:t>
      </w:r>
      <w:r w:rsidR="00577CA9" w:rsidRPr="00982B22">
        <w:rPr>
          <w:rFonts w:eastAsiaTheme="minorEastAsia"/>
          <w:kern w:val="0"/>
          <w:lang w:eastAsia="en-US"/>
        </w:rPr>
        <w:t>"</w:t>
      </w:r>
      <w:r w:rsidRPr="00982B22">
        <w:rPr>
          <w:rFonts w:eastAsiaTheme="minorEastAsia"/>
          <w:kern w:val="0"/>
          <w:lang w:eastAsia="en-US"/>
        </w:rPr>
        <w:t>Emotional contagion: A brief overview and future directions,</w:t>
      </w:r>
      <w:r w:rsidR="00577CA9" w:rsidRPr="00982B22">
        <w:rPr>
          <w:rFonts w:eastAsiaTheme="minorEastAsia"/>
          <w:kern w:val="0"/>
          <w:lang w:eastAsia="en-US"/>
        </w:rPr>
        <w:t>"</w:t>
      </w:r>
      <w:r w:rsidRPr="00BC1DA9">
        <w:rPr>
          <w:rFonts w:eastAsiaTheme="minorEastAsia"/>
          <w:i/>
          <w:iCs/>
          <w:kern w:val="0"/>
          <w:lang w:eastAsia="en-US"/>
        </w:rPr>
        <w:t xml:space="preserve"> Front. Psychol</w:t>
      </w:r>
      <w:r w:rsidRPr="00982B22">
        <w:rPr>
          <w:rFonts w:eastAsiaTheme="minorEastAsia"/>
          <w:kern w:val="0"/>
          <w:lang w:eastAsia="en-US"/>
        </w:rPr>
        <w:t>., vol. 12, 712606, 2021.</w:t>
      </w:r>
    </w:p>
    <w:p w14:paraId="387DEF20" w14:textId="144FB337"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A. D. I. Kramer, J. E. Guillory, and J. T. Hancock, </w:t>
      </w:r>
      <w:r w:rsidR="00577CA9" w:rsidRPr="00982B22">
        <w:rPr>
          <w:rFonts w:eastAsiaTheme="minorEastAsia"/>
          <w:kern w:val="0"/>
          <w:lang w:eastAsia="en-US"/>
        </w:rPr>
        <w:t>"</w:t>
      </w:r>
      <w:r w:rsidRPr="00982B22">
        <w:rPr>
          <w:rFonts w:eastAsiaTheme="minorEastAsia"/>
          <w:kern w:val="0"/>
          <w:lang w:eastAsia="en-US"/>
        </w:rPr>
        <w:t>Experimental evidence of massive-scale emotional contagion through social networks,</w:t>
      </w:r>
      <w:r w:rsidR="00577CA9" w:rsidRPr="00982B22">
        <w:rPr>
          <w:rFonts w:eastAsiaTheme="minorEastAsia"/>
          <w:kern w:val="0"/>
          <w:lang w:eastAsia="en-US"/>
        </w:rPr>
        <w:t>"</w:t>
      </w:r>
      <w:r w:rsidRPr="00982B22">
        <w:rPr>
          <w:rFonts w:eastAsiaTheme="minorEastAsia"/>
          <w:kern w:val="0"/>
          <w:lang w:eastAsia="en-US"/>
        </w:rPr>
        <w:t xml:space="preserve"> </w:t>
      </w:r>
      <w:r w:rsidRPr="00BC1DA9">
        <w:rPr>
          <w:rFonts w:eastAsiaTheme="minorEastAsia"/>
          <w:i/>
          <w:iCs/>
          <w:kern w:val="0"/>
          <w:lang w:eastAsia="en-US"/>
        </w:rPr>
        <w:t xml:space="preserve">Proc. Natl. Acad. </w:t>
      </w:r>
      <w:r w:rsidRPr="00BC1DA9">
        <w:rPr>
          <w:rFonts w:eastAsiaTheme="minorEastAsia"/>
          <w:i/>
          <w:iCs/>
          <w:kern w:val="0"/>
          <w:lang w:eastAsia="en-US"/>
        </w:rPr>
        <w:lastRenderedPageBreak/>
        <w:t>Sci. U. S. A.</w:t>
      </w:r>
      <w:r w:rsidRPr="00982B22">
        <w:rPr>
          <w:rFonts w:eastAsiaTheme="minorEastAsia"/>
          <w:kern w:val="0"/>
          <w:lang w:eastAsia="en-US"/>
        </w:rPr>
        <w:t>, vol. 111, no. 24, pp. 8788–8790, 2014.</w:t>
      </w:r>
    </w:p>
    <w:p w14:paraId="524B7431" w14:textId="01719E7D"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R. W. Doherty, </w:t>
      </w:r>
      <w:r w:rsidR="00BC1DA9">
        <w:rPr>
          <w:rFonts w:eastAsiaTheme="minorEastAsia"/>
          <w:kern w:val="0"/>
          <w:lang w:eastAsia="en-US"/>
        </w:rPr>
        <w:t>“</w:t>
      </w:r>
      <w:r w:rsidR="00BC1DA9" w:rsidRPr="00BC1DA9">
        <w:rPr>
          <w:rFonts w:eastAsiaTheme="minorEastAsia"/>
          <w:kern w:val="0"/>
          <w:lang w:eastAsia="en-US"/>
        </w:rPr>
        <w:t xml:space="preserve">The </w:t>
      </w:r>
      <w:r w:rsidR="00BC1DA9" w:rsidRPr="00BC1DA9">
        <w:rPr>
          <w:rFonts w:eastAsiaTheme="minorEastAsia"/>
          <w:kern w:val="0"/>
          <w:lang w:eastAsia="en-US"/>
        </w:rPr>
        <w:t>emotional contagion scale: a measure of individual difference</w:t>
      </w:r>
      <w:r w:rsidR="00BC1DA9" w:rsidRPr="00BC1DA9">
        <w:rPr>
          <w:rFonts w:eastAsiaTheme="minorEastAsia"/>
          <w:kern w:val="0"/>
          <w:lang w:eastAsia="en-US"/>
        </w:rPr>
        <w:t>s</w:t>
      </w:r>
      <w:r w:rsidR="00BC1DA9">
        <w:rPr>
          <w:rFonts w:eastAsiaTheme="minorEastAsia"/>
          <w:kern w:val="0"/>
          <w:lang w:eastAsia="en-US"/>
        </w:rPr>
        <w:t xml:space="preserve">,” </w:t>
      </w:r>
      <w:r w:rsidRPr="00BC1DA9">
        <w:rPr>
          <w:rFonts w:eastAsiaTheme="minorEastAsia"/>
          <w:i/>
          <w:iCs/>
          <w:kern w:val="0"/>
          <w:lang w:eastAsia="en-US"/>
        </w:rPr>
        <w:t>J. Nonverbal Behav</w:t>
      </w:r>
      <w:r w:rsidRPr="00982B22">
        <w:rPr>
          <w:rFonts w:eastAsiaTheme="minorEastAsia"/>
          <w:kern w:val="0"/>
          <w:lang w:eastAsia="en-US"/>
        </w:rPr>
        <w:t>., vol. 21, no. 2, pp. 131–154, 1997.</w:t>
      </w:r>
    </w:p>
    <w:p w14:paraId="33B56646" w14:textId="7D71C880"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G. Isabella and V. A. Vieira, </w:t>
      </w:r>
      <w:r w:rsidR="00577CA9" w:rsidRPr="00982B22">
        <w:rPr>
          <w:rFonts w:eastAsiaTheme="minorEastAsia"/>
          <w:kern w:val="0"/>
          <w:lang w:eastAsia="en-US"/>
        </w:rPr>
        <w:t>"</w:t>
      </w:r>
      <w:r w:rsidRPr="00982B22">
        <w:rPr>
          <w:rFonts w:eastAsiaTheme="minorEastAsia"/>
          <w:kern w:val="0"/>
          <w:lang w:eastAsia="en-US"/>
        </w:rPr>
        <w:t>The effect of facial expression on emotional contagion and product evaluation in print advertising,</w:t>
      </w:r>
      <w:r w:rsidR="00577CA9" w:rsidRPr="00982B22">
        <w:rPr>
          <w:rFonts w:eastAsiaTheme="minorEastAsia"/>
          <w:kern w:val="0"/>
          <w:lang w:eastAsia="en-US"/>
        </w:rPr>
        <w:t>"</w:t>
      </w:r>
      <w:r w:rsidRPr="00982B22">
        <w:rPr>
          <w:rFonts w:eastAsiaTheme="minorEastAsia"/>
          <w:kern w:val="0"/>
          <w:lang w:eastAsia="en-US"/>
        </w:rPr>
        <w:t xml:space="preserve"> </w:t>
      </w:r>
      <w:r w:rsidRPr="00BC1DA9">
        <w:rPr>
          <w:rFonts w:eastAsiaTheme="minorEastAsia"/>
          <w:i/>
          <w:iCs/>
          <w:kern w:val="0"/>
          <w:lang w:eastAsia="en-US"/>
        </w:rPr>
        <w:t>RAUSP Manag. j</w:t>
      </w:r>
      <w:r w:rsidRPr="00982B22">
        <w:rPr>
          <w:rFonts w:eastAsiaTheme="minorEastAsia"/>
          <w:kern w:val="0"/>
          <w:lang w:eastAsia="en-US"/>
        </w:rPr>
        <w:t>., vol. 55, no. 3, pp. 375–391, 2020.</w:t>
      </w:r>
    </w:p>
    <w:p w14:paraId="5121698A" w14:textId="15A1A7C0"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S. Steinert, </w:t>
      </w:r>
      <w:r w:rsidR="00577CA9" w:rsidRPr="00982B22">
        <w:rPr>
          <w:rFonts w:eastAsiaTheme="minorEastAsia"/>
          <w:kern w:val="0"/>
          <w:lang w:eastAsia="en-US"/>
        </w:rPr>
        <w:t>"</w:t>
      </w:r>
      <w:r w:rsidRPr="00982B22">
        <w:rPr>
          <w:rFonts w:eastAsiaTheme="minorEastAsia"/>
          <w:kern w:val="0"/>
          <w:lang w:eastAsia="en-US"/>
        </w:rPr>
        <w:t>Corona and value change. The role of social media and emotional contagion,</w:t>
      </w:r>
      <w:r w:rsidR="00577CA9" w:rsidRPr="00982B22">
        <w:rPr>
          <w:rFonts w:eastAsiaTheme="minorEastAsia"/>
          <w:kern w:val="0"/>
          <w:lang w:eastAsia="en-US"/>
        </w:rPr>
        <w:t>"</w:t>
      </w:r>
      <w:r w:rsidRPr="00982B22">
        <w:rPr>
          <w:rFonts w:eastAsiaTheme="minorEastAsia"/>
          <w:kern w:val="0"/>
          <w:lang w:eastAsia="en-US"/>
        </w:rPr>
        <w:t xml:space="preserve"> </w:t>
      </w:r>
      <w:r w:rsidRPr="00BC1DA9">
        <w:rPr>
          <w:rFonts w:eastAsiaTheme="minorEastAsia"/>
          <w:i/>
          <w:iCs/>
          <w:kern w:val="0"/>
          <w:lang w:eastAsia="en-US"/>
        </w:rPr>
        <w:t>Ethics Inf. Technol</w:t>
      </w:r>
      <w:r w:rsidRPr="00982B22">
        <w:rPr>
          <w:rFonts w:eastAsiaTheme="minorEastAsia"/>
          <w:kern w:val="0"/>
          <w:lang w:eastAsia="en-US"/>
        </w:rPr>
        <w:t>., vol. 23, no. S1, pp. 1–10, 2020.</w:t>
      </w:r>
    </w:p>
    <w:p w14:paraId="09DAB25F" w14:textId="5CFE4EC7"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A. T. Stephen and O. Toubia, </w:t>
      </w:r>
      <w:r w:rsidR="00577CA9" w:rsidRPr="00982B22">
        <w:rPr>
          <w:rFonts w:eastAsiaTheme="minorEastAsia"/>
          <w:kern w:val="0"/>
          <w:lang w:eastAsia="en-US"/>
        </w:rPr>
        <w:t>"</w:t>
      </w:r>
      <w:r w:rsidRPr="00982B22">
        <w:rPr>
          <w:rFonts w:eastAsiaTheme="minorEastAsia"/>
          <w:kern w:val="0"/>
          <w:lang w:eastAsia="en-US"/>
        </w:rPr>
        <w:t>Deriving value from social commerce networks,</w:t>
      </w:r>
      <w:r w:rsidR="00577CA9" w:rsidRPr="00982B22">
        <w:rPr>
          <w:rFonts w:eastAsiaTheme="minorEastAsia"/>
          <w:kern w:val="0"/>
          <w:lang w:eastAsia="en-US"/>
        </w:rPr>
        <w:t>"</w:t>
      </w:r>
      <w:r w:rsidRPr="00982B22">
        <w:rPr>
          <w:rFonts w:eastAsiaTheme="minorEastAsia"/>
          <w:kern w:val="0"/>
          <w:lang w:eastAsia="en-US"/>
        </w:rPr>
        <w:t xml:space="preserve"> </w:t>
      </w:r>
      <w:r w:rsidRPr="00503D7B">
        <w:rPr>
          <w:rFonts w:eastAsiaTheme="minorEastAsia"/>
          <w:i/>
          <w:iCs/>
          <w:kern w:val="0"/>
          <w:lang w:eastAsia="en-US"/>
        </w:rPr>
        <w:t>J. Mark. Res</w:t>
      </w:r>
      <w:r w:rsidRPr="00982B22">
        <w:rPr>
          <w:rFonts w:eastAsiaTheme="minorEastAsia"/>
          <w:kern w:val="0"/>
          <w:lang w:eastAsia="en-US"/>
        </w:rPr>
        <w:t>., vol. 47, no. 2, pp. 215–228, 2010.</w:t>
      </w:r>
    </w:p>
    <w:p w14:paraId="25F994D2" w14:textId="77777777"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P. N. Juslin, S. Liljeström, D. Västfjäll, G. Barradas, and A. Silva, “An experience sampling study of emotional reactions to music: listener, music, and situation,” </w:t>
      </w:r>
      <w:r w:rsidRPr="00503D7B">
        <w:rPr>
          <w:rFonts w:eastAsiaTheme="minorEastAsia"/>
          <w:i/>
          <w:iCs/>
          <w:kern w:val="0"/>
          <w:lang w:eastAsia="en-US"/>
        </w:rPr>
        <w:t>Emotion</w:t>
      </w:r>
      <w:r w:rsidRPr="00982B22">
        <w:rPr>
          <w:rFonts w:eastAsiaTheme="minorEastAsia"/>
          <w:kern w:val="0"/>
          <w:lang w:eastAsia="en-US"/>
        </w:rPr>
        <w:t>, vol. 8, no. 5, pp. 668–683, 2008.</w:t>
      </w:r>
    </w:p>
    <w:p w14:paraId="72CEF981" w14:textId="7B2B3AC2"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M. G. Boltz, B. Ebendorf, and B. Field, </w:t>
      </w:r>
      <w:r w:rsidR="00577CA9" w:rsidRPr="00982B22">
        <w:rPr>
          <w:rFonts w:eastAsiaTheme="minorEastAsia"/>
          <w:kern w:val="0"/>
          <w:lang w:eastAsia="en-US"/>
        </w:rPr>
        <w:t>"</w:t>
      </w:r>
      <w:r w:rsidRPr="00982B22">
        <w:rPr>
          <w:rFonts w:eastAsiaTheme="minorEastAsia"/>
          <w:kern w:val="0"/>
          <w:lang w:eastAsia="en-US"/>
        </w:rPr>
        <w:t>Audiovisual interactions: The impact of visual information on music perception and memory,</w:t>
      </w:r>
      <w:r w:rsidR="00577CA9" w:rsidRPr="00982B22">
        <w:rPr>
          <w:rFonts w:eastAsiaTheme="minorEastAsia"/>
          <w:kern w:val="0"/>
          <w:lang w:eastAsia="en-US"/>
        </w:rPr>
        <w:t>"</w:t>
      </w:r>
      <w:r w:rsidRPr="00982B22">
        <w:rPr>
          <w:rFonts w:eastAsiaTheme="minorEastAsia"/>
          <w:kern w:val="0"/>
          <w:lang w:eastAsia="en-US"/>
        </w:rPr>
        <w:t xml:space="preserve"> </w:t>
      </w:r>
      <w:r w:rsidRPr="00503D7B">
        <w:rPr>
          <w:rFonts w:eastAsiaTheme="minorEastAsia"/>
          <w:i/>
          <w:iCs/>
          <w:kern w:val="0"/>
          <w:lang w:eastAsia="en-US"/>
        </w:rPr>
        <w:t>Music Percept</w:t>
      </w:r>
      <w:r w:rsidRPr="00982B22">
        <w:rPr>
          <w:rFonts w:eastAsiaTheme="minorEastAsia"/>
          <w:kern w:val="0"/>
          <w:lang w:eastAsia="en-US"/>
        </w:rPr>
        <w:t>., vol. 27, no. 1, pp. 43–59, 2009.</w:t>
      </w:r>
    </w:p>
    <w:p w14:paraId="0946B311" w14:textId="77777777"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M. E. Goldberg, A. Chattopadhyay, G. J. Gorn, and J. Rosenblatt, “Music, music videos, and wear out,” </w:t>
      </w:r>
      <w:r w:rsidRPr="00503D7B">
        <w:rPr>
          <w:rFonts w:eastAsiaTheme="minorEastAsia"/>
          <w:i/>
          <w:iCs/>
          <w:kern w:val="0"/>
          <w:lang w:eastAsia="en-US"/>
        </w:rPr>
        <w:t>Psychol. Mark</w:t>
      </w:r>
      <w:r w:rsidRPr="00982B22">
        <w:rPr>
          <w:rFonts w:eastAsiaTheme="minorEastAsia"/>
          <w:kern w:val="0"/>
          <w:lang w:eastAsia="en-US"/>
        </w:rPr>
        <w:t>., vol. 10, no. 1, pp. 1–13, 1993.</w:t>
      </w:r>
    </w:p>
    <w:p w14:paraId="7850478C" w14:textId="002D3054"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J. Bowen, </w:t>
      </w:r>
      <w:r w:rsidR="00577CA9" w:rsidRPr="00982B22">
        <w:rPr>
          <w:rFonts w:eastAsiaTheme="minorEastAsia"/>
          <w:kern w:val="0"/>
          <w:lang w:eastAsia="en-US"/>
        </w:rPr>
        <w:t>"</w:t>
      </w:r>
      <w:r w:rsidRPr="00982B22">
        <w:rPr>
          <w:rFonts w:eastAsiaTheme="minorEastAsia"/>
          <w:kern w:val="0"/>
          <w:lang w:eastAsia="en-US"/>
        </w:rPr>
        <w:t>Emotion in the classroom: An update,</w:t>
      </w:r>
      <w:r w:rsidR="00577CA9" w:rsidRPr="00982B22">
        <w:rPr>
          <w:rFonts w:eastAsiaTheme="minorEastAsia"/>
          <w:kern w:val="0"/>
          <w:lang w:eastAsia="en-US"/>
        </w:rPr>
        <w:t>"</w:t>
      </w:r>
      <w:r w:rsidRPr="00982B22">
        <w:rPr>
          <w:rFonts w:eastAsiaTheme="minorEastAsia"/>
          <w:kern w:val="0"/>
          <w:lang w:eastAsia="en-US"/>
        </w:rPr>
        <w:t xml:space="preserve"> </w:t>
      </w:r>
      <w:r w:rsidRPr="00503D7B">
        <w:rPr>
          <w:rFonts w:eastAsiaTheme="minorEastAsia"/>
          <w:i/>
          <w:iCs/>
          <w:kern w:val="0"/>
          <w:lang w:eastAsia="en-US"/>
        </w:rPr>
        <w:t>To improve acad</w:t>
      </w:r>
      <w:r w:rsidR="00503D7B">
        <w:rPr>
          <w:rFonts w:eastAsiaTheme="minorEastAsia"/>
          <w:i/>
          <w:iCs/>
          <w:kern w:val="0"/>
          <w:lang w:eastAsia="en-US"/>
        </w:rPr>
        <w:t>emy</w:t>
      </w:r>
      <w:r w:rsidRPr="00982B22">
        <w:rPr>
          <w:rFonts w:eastAsiaTheme="minorEastAsia"/>
          <w:kern w:val="0"/>
          <w:lang w:eastAsia="en-US"/>
        </w:rPr>
        <w:t>., vol. 33, no. 2, pp. 196–219, 2014.</w:t>
      </w:r>
    </w:p>
    <w:p w14:paraId="3AD5C4CA" w14:textId="471423AE"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A. Vassiou, A. Mouratidis, E. Andreou, and K. Kafetsios, </w:t>
      </w:r>
      <w:r w:rsidR="00577CA9" w:rsidRPr="00982B22">
        <w:rPr>
          <w:rFonts w:eastAsiaTheme="minorEastAsia"/>
          <w:kern w:val="0"/>
          <w:lang w:eastAsia="en-US"/>
        </w:rPr>
        <w:t>"</w:t>
      </w:r>
      <w:r w:rsidRPr="00982B22">
        <w:rPr>
          <w:rFonts w:eastAsiaTheme="minorEastAsia"/>
          <w:kern w:val="0"/>
          <w:lang w:eastAsia="en-US"/>
        </w:rPr>
        <w:t>Students</w:t>
      </w:r>
      <w:r w:rsidR="00577CA9" w:rsidRPr="00982B22">
        <w:rPr>
          <w:rFonts w:eastAsiaTheme="minorEastAsia"/>
          <w:kern w:val="0"/>
          <w:lang w:eastAsia="en-US"/>
        </w:rPr>
        <w:t>'</w:t>
      </w:r>
      <w:r w:rsidRPr="00982B22">
        <w:rPr>
          <w:rFonts w:eastAsiaTheme="minorEastAsia"/>
          <w:kern w:val="0"/>
          <w:lang w:eastAsia="en-US"/>
        </w:rPr>
        <w:t xml:space="preserve"> achievement goals, emotion perception ability and affect and performance in the classroom: a multilevel examination,</w:t>
      </w:r>
      <w:r w:rsidR="00577CA9" w:rsidRPr="00982B22">
        <w:rPr>
          <w:rFonts w:eastAsiaTheme="minorEastAsia"/>
          <w:kern w:val="0"/>
          <w:lang w:eastAsia="en-US"/>
        </w:rPr>
        <w:t>"</w:t>
      </w:r>
      <w:r w:rsidRPr="00982B22">
        <w:rPr>
          <w:rFonts w:eastAsiaTheme="minorEastAsia"/>
          <w:kern w:val="0"/>
          <w:lang w:eastAsia="en-US"/>
        </w:rPr>
        <w:t xml:space="preserve"> </w:t>
      </w:r>
      <w:r w:rsidRPr="00503D7B">
        <w:rPr>
          <w:rFonts w:eastAsiaTheme="minorEastAsia"/>
          <w:i/>
          <w:iCs/>
          <w:kern w:val="0"/>
          <w:lang w:eastAsia="en-US"/>
        </w:rPr>
        <w:t>Educ. Psychol</w:t>
      </w:r>
      <w:r w:rsidRPr="00982B22">
        <w:rPr>
          <w:rFonts w:eastAsiaTheme="minorEastAsia"/>
          <w:kern w:val="0"/>
          <w:lang w:eastAsia="en-US"/>
        </w:rPr>
        <w:t>., vol. 36, no. 5, pp. 879–897, 2016.</w:t>
      </w:r>
    </w:p>
    <w:p w14:paraId="35EB47D5" w14:textId="0F722D90"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M. Sunday, R. W. McGugin, and I. Gauthier, </w:t>
      </w:r>
      <w:r w:rsidR="00577CA9" w:rsidRPr="00982B22">
        <w:rPr>
          <w:rFonts w:eastAsiaTheme="minorEastAsia"/>
          <w:kern w:val="0"/>
          <w:lang w:eastAsia="en-US"/>
        </w:rPr>
        <w:t>"</w:t>
      </w:r>
      <w:r w:rsidRPr="00982B22">
        <w:rPr>
          <w:rFonts w:eastAsiaTheme="minorEastAsia"/>
          <w:kern w:val="0"/>
          <w:lang w:eastAsia="en-US"/>
        </w:rPr>
        <w:t>Domain-specific reports of visual imagery vividness are not related to perceptual expertise,</w:t>
      </w:r>
      <w:r w:rsidR="00577CA9" w:rsidRPr="00982B22">
        <w:rPr>
          <w:rFonts w:eastAsiaTheme="minorEastAsia"/>
          <w:kern w:val="0"/>
          <w:lang w:eastAsia="en-US"/>
        </w:rPr>
        <w:t>"</w:t>
      </w:r>
      <w:r w:rsidRPr="00982B22">
        <w:rPr>
          <w:rFonts w:eastAsiaTheme="minorEastAsia"/>
          <w:kern w:val="0"/>
          <w:lang w:eastAsia="en-US"/>
        </w:rPr>
        <w:t xml:space="preserve"> </w:t>
      </w:r>
      <w:r w:rsidRPr="00503D7B">
        <w:rPr>
          <w:rFonts w:eastAsiaTheme="minorEastAsia"/>
          <w:i/>
          <w:iCs/>
          <w:kern w:val="0"/>
          <w:lang w:eastAsia="en-US"/>
        </w:rPr>
        <w:t>Behav. Res. Methods</w:t>
      </w:r>
      <w:r w:rsidRPr="00982B22">
        <w:rPr>
          <w:rFonts w:eastAsiaTheme="minorEastAsia"/>
          <w:kern w:val="0"/>
          <w:lang w:eastAsia="en-US"/>
        </w:rPr>
        <w:t>, vol. 49, no. 2, pp. 733–738, 2017.</w:t>
      </w:r>
    </w:p>
    <w:p w14:paraId="1E2F970A" w14:textId="4ADE1CE9"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R. A. Day and W. F. Thompson, </w:t>
      </w:r>
      <w:r w:rsidR="00577CA9" w:rsidRPr="00982B22">
        <w:rPr>
          <w:rFonts w:eastAsiaTheme="minorEastAsia"/>
          <w:kern w:val="0"/>
          <w:lang w:eastAsia="en-US"/>
        </w:rPr>
        <w:t>"</w:t>
      </w:r>
      <w:r w:rsidRPr="00982B22">
        <w:rPr>
          <w:rFonts w:eastAsiaTheme="minorEastAsia"/>
          <w:kern w:val="0"/>
          <w:lang w:eastAsia="en-US"/>
        </w:rPr>
        <w:t>Measuring the onset of experiences of emotion and imagery in response to music,</w:t>
      </w:r>
      <w:r w:rsidR="00577CA9" w:rsidRPr="00982B22">
        <w:rPr>
          <w:rFonts w:eastAsiaTheme="minorEastAsia"/>
          <w:kern w:val="0"/>
          <w:lang w:eastAsia="en-US"/>
        </w:rPr>
        <w:t>"</w:t>
      </w:r>
      <w:r w:rsidRPr="00982B22">
        <w:rPr>
          <w:rFonts w:eastAsiaTheme="minorEastAsia"/>
          <w:kern w:val="0"/>
          <w:lang w:eastAsia="en-US"/>
        </w:rPr>
        <w:t xml:space="preserve"> </w:t>
      </w:r>
      <w:r w:rsidRPr="00503D7B">
        <w:rPr>
          <w:rFonts w:eastAsiaTheme="minorEastAsia"/>
          <w:i/>
          <w:iCs/>
          <w:kern w:val="0"/>
          <w:lang w:eastAsia="en-US"/>
        </w:rPr>
        <w:t>Psychomusicology</w:t>
      </w:r>
      <w:r w:rsidRPr="00982B22">
        <w:rPr>
          <w:rFonts w:eastAsiaTheme="minorEastAsia"/>
          <w:kern w:val="0"/>
          <w:lang w:eastAsia="en-US"/>
        </w:rPr>
        <w:t>, vol. 29, no. 2–3, pp. 75–89, 2019.</w:t>
      </w:r>
    </w:p>
    <w:p w14:paraId="22C21A40" w14:textId="1471A80A"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K. Kajtazi and J. Zeqiri, </w:t>
      </w:r>
      <w:r w:rsidR="00577CA9" w:rsidRPr="00982B22">
        <w:rPr>
          <w:rFonts w:eastAsiaTheme="minorEastAsia"/>
          <w:kern w:val="0"/>
          <w:lang w:eastAsia="en-US"/>
        </w:rPr>
        <w:t>"</w:t>
      </w:r>
      <w:r w:rsidRPr="00982B22">
        <w:rPr>
          <w:rFonts w:eastAsiaTheme="minorEastAsia"/>
          <w:kern w:val="0"/>
          <w:lang w:eastAsia="en-US"/>
        </w:rPr>
        <w:t>The effect of e-WOM and content marketing on customers</w:t>
      </w:r>
      <w:r w:rsidR="00577CA9" w:rsidRPr="00982B22">
        <w:rPr>
          <w:rFonts w:eastAsiaTheme="minorEastAsia"/>
          <w:kern w:val="0"/>
          <w:lang w:eastAsia="en-US"/>
        </w:rPr>
        <w:t>'</w:t>
      </w:r>
      <w:r w:rsidRPr="00982B22">
        <w:rPr>
          <w:rFonts w:eastAsiaTheme="minorEastAsia"/>
          <w:kern w:val="0"/>
          <w:lang w:eastAsia="en-US"/>
        </w:rPr>
        <w:t xml:space="preserve"> purchase intention,</w:t>
      </w:r>
      <w:r w:rsidR="00577CA9" w:rsidRPr="00982B22">
        <w:rPr>
          <w:rFonts w:eastAsiaTheme="minorEastAsia"/>
          <w:kern w:val="0"/>
          <w:lang w:eastAsia="en-US"/>
        </w:rPr>
        <w:t>"</w:t>
      </w:r>
      <w:r w:rsidRPr="00982B22">
        <w:rPr>
          <w:rFonts w:eastAsiaTheme="minorEastAsia"/>
          <w:kern w:val="0"/>
          <w:lang w:eastAsia="en-US"/>
        </w:rPr>
        <w:t xml:space="preserve"> </w:t>
      </w:r>
      <w:r w:rsidRPr="00503D7B">
        <w:rPr>
          <w:rFonts w:eastAsiaTheme="minorEastAsia"/>
          <w:i/>
          <w:iCs/>
          <w:kern w:val="0"/>
          <w:lang w:eastAsia="en-US"/>
        </w:rPr>
        <w:t>Int. j. Islam. mark. brand</w:t>
      </w:r>
      <w:r w:rsidRPr="00982B22">
        <w:rPr>
          <w:rFonts w:eastAsiaTheme="minorEastAsia"/>
          <w:kern w:val="0"/>
          <w:lang w:eastAsia="en-US"/>
        </w:rPr>
        <w:t>., vol. 5, no. 2, p. 114, 2020.</w:t>
      </w:r>
    </w:p>
    <w:p w14:paraId="0B75C4E5" w14:textId="118E1764"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E. Eldar, O. Ganor, R. Admon, A. Bleich, and T. Hendler, </w:t>
      </w:r>
      <w:r w:rsidR="00577CA9" w:rsidRPr="00982B22">
        <w:rPr>
          <w:rFonts w:eastAsiaTheme="minorEastAsia"/>
          <w:kern w:val="0"/>
          <w:lang w:eastAsia="en-US"/>
        </w:rPr>
        <w:t>"</w:t>
      </w:r>
      <w:r w:rsidRPr="00982B22">
        <w:rPr>
          <w:rFonts w:eastAsiaTheme="minorEastAsia"/>
          <w:kern w:val="0"/>
          <w:lang w:eastAsia="en-US"/>
        </w:rPr>
        <w:t>Feeling the real world: limbic response to music depends on related content,</w:t>
      </w:r>
      <w:r w:rsidR="00577CA9" w:rsidRPr="00982B22">
        <w:rPr>
          <w:rFonts w:eastAsiaTheme="minorEastAsia"/>
          <w:kern w:val="0"/>
          <w:lang w:eastAsia="en-US"/>
        </w:rPr>
        <w:t>"</w:t>
      </w:r>
      <w:r w:rsidRPr="00982B22">
        <w:rPr>
          <w:rFonts w:eastAsiaTheme="minorEastAsia"/>
          <w:kern w:val="0"/>
          <w:lang w:eastAsia="en-US"/>
        </w:rPr>
        <w:t xml:space="preserve"> </w:t>
      </w:r>
      <w:r w:rsidRPr="00503D7B">
        <w:rPr>
          <w:rFonts w:eastAsiaTheme="minorEastAsia"/>
          <w:i/>
          <w:iCs/>
          <w:kern w:val="0"/>
          <w:lang w:eastAsia="en-US"/>
        </w:rPr>
        <w:t>Cereb. Cortex</w:t>
      </w:r>
      <w:r w:rsidRPr="00982B22">
        <w:rPr>
          <w:rFonts w:eastAsiaTheme="minorEastAsia"/>
          <w:kern w:val="0"/>
          <w:lang w:eastAsia="en-US"/>
        </w:rPr>
        <w:t>, vol. 17, no. 12, pp. 2828–2840, 2007.</w:t>
      </w:r>
    </w:p>
    <w:p w14:paraId="400F4F25" w14:textId="0BB00397"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J. M. Geringer, J. W. Cassidy, and J. L. Byo, </w:t>
      </w:r>
      <w:r w:rsidR="00577CA9" w:rsidRPr="00982B22">
        <w:rPr>
          <w:rFonts w:eastAsiaTheme="minorEastAsia"/>
          <w:kern w:val="0"/>
          <w:lang w:eastAsia="en-US"/>
        </w:rPr>
        <w:t>"</w:t>
      </w:r>
      <w:r w:rsidRPr="00982B22">
        <w:rPr>
          <w:rFonts w:eastAsiaTheme="minorEastAsia"/>
          <w:kern w:val="0"/>
          <w:lang w:eastAsia="en-US"/>
        </w:rPr>
        <w:t>Nonmusic majors</w:t>
      </w:r>
      <w:r w:rsidR="00577CA9" w:rsidRPr="00982B22">
        <w:rPr>
          <w:rFonts w:eastAsiaTheme="minorEastAsia"/>
          <w:kern w:val="0"/>
          <w:lang w:eastAsia="en-US"/>
        </w:rPr>
        <w:t>'</w:t>
      </w:r>
      <w:r w:rsidRPr="00982B22">
        <w:rPr>
          <w:rFonts w:eastAsiaTheme="minorEastAsia"/>
          <w:kern w:val="0"/>
          <w:lang w:eastAsia="en-US"/>
        </w:rPr>
        <w:t xml:space="preserve"> cognitive and </w:t>
      </w:r>
      <w:r w:rsidRPr="00982B22">
        <w:rPr>
          <w:rFonts w:eastAsiaTheme="minorEastAsia"/>
          <w:kern w:val="0"/>
          <w:lang w:eastAsia="en-US"/>
        </w:rPr>
        <w:lastRenderedPageBreak/>
        <w:t>affective responses to performance and programmatic music videos,</w:t>
      </w:r>
      <w:r w:rsidR="00577CA9" w:rsidRPr="00982B22">
        <w:rPr>
          <w:rFonts w:eastAsiaTheme="minorEastAsia"/>
          <w:kern w:val="0"/>
          <w:lang w:eastAsia="en-US"/>
        </w:rPr>
        <w:t>"</w:t>
      </w:r>
      <w:r w:rsidRPr="00982B22">
        <w:rPr>
          <w:rFonts w:eastAsiaTheme="minorEastAsia"/>
          <w:kern w:val="0"/>
          <w:lang w:eastAsia="en-US"/>
        </w:rPr>
        <w:t xml:space="preserve"> </w:t>
      </w:r>
      <w:r w:rsidRPr="00503D7B">
        <w:rPr>
          <w:rFonts w:eastAsiaTheme="minorEastAsia"/>
          <w:i/>
          <w:iCs/>
          <w:kern w:val="0"/>
          <w:lang w:eastAsia="en-US"/>
        </w:rPr>
        <w:t>J. Res. Music Educ.</w:t>
      </w:r>
      <w:r w:rsidRPr="00982B22">
        <w:rPr>
          <w:rFonts w:eastAsiaTheme="minorEastAsia"/>
          <w:kern w:val="0"/>
          <w:lang w:eastAsia="en-US"/>
        </w:rPr>
        <w:t>, vol. 45, no. 2, pp. 221–233, 1997.</w:t>
      </w:r>
    </w:p>
    <w:p w14:paraId="265C22FF" w14:textId="0F4FF1C2"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B. W. Vines, C. L. Krumhansl, M. M. Wanderley, and D. J. Levitin, </w:t>
      </w:r>
      <w:r w:rsidR="00577CA9" w:rsidRPr="00982B22">
        <w:rPr>
          <w:rFonts w:eastAsiaTheme="minorEastAsia"/>
          <w:kern w:val="0"/>
          <w:lang w:eastAsia="en-US"/>
        </w:rPr>
        <w:t>"</w:t>
      </w:r>
      <w:r w:rsidRPr="00982B22">
        <w:rPr>
          <w:rFonts w:eastAsiaTheme="minorEastAsia"/>
          <w:kern w:val="0"/>
          <w:lang w:eastAsia="en-US"/>
        </w:rPr>
        <w:t>Cross-modal interactions in the perception of musical performance,</w:t>
      </w:r>
      <w:r w:rsidR="00577CA9" w:rsidRPr="00982B22">
        <w:rPr>
          <w:rFonts w:eastAsiaTheme="minorEastAsia"/>
          <w:kern w:val="0"/>
          <w:lang w:eastAsia="en-US"/>
        </w:rPr>
        <w:t>"</w:t>
      </w:r>
      <w:r w:rsidRPr="00982B22">
        <w:rPr>
          <w:rFonts w:eastAsiaTheme="minorEastAsia"/>
          <w:kern w:val="0"/>
          <w:lang w:eastAsia="en-US"/>
        </w:rPr>
        <w:t xml:space="preserve"> </w:t>
      </w:r>
      <w:r w:rsidRPr="00503D7B">
        <w:rPr>
          <w:rFonts w:eastAsiaTheme="minorEastAsia"/>
          <w:i/>
          <w:iCs/>
          <w:kern w:val="0"/>
          <w:lang w:eastAsia="en-US"/>
        </w:rPr>
        <w:t>Cognition</w:t>
      </w:r>
      <w:r w:rsidRPr="00982B22">
        <w:rPr>
          <w:rFonts w:eastAsiaTheme="minorEastAsia"/>
          <w:kern w:val="0"/>
          <w:lang w:eastAsia="en-US"/>
        </w:rPr>
        <w:t>, vol. 101, no. 1, pp. 80–113, 2006.</w:t>
      </w:r>
    </w:p>
    <w:p w14:paraId="37B76156" w14:textId="3E13D03A"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R. Iyengar, C. Van den Bulte, and J. Y. Lee, </w:t>
      </w:r>
      <w:r w:rsidR="00577CA9" w:rsidRPr="00982B22">
        <w:rPr>
          <w:rFonts w:eastAsiaTheme="minorEastAsia"/>
          <w:kern w:val="0"/>
          <w:lang w:eastAsia="en-US"/>
        </w:rPr>
        <w:t>"</w:t>
      </w:r>
      <w:r w:rsidRPr="00982B22">
        <w:rPr>
          <w:rFonts w:eastAsiaTheme="minorEastAsia"/>
          <w:kern w:val="0"/>
          <w:lang w:eastAsia="en-US"/>
        </w:rPr>
        <w:t>Social contagion in new product trial and repeat,</w:t>
      </w:r>
      <w:r w:rsidR="00577CA9" w:rsidRPr="00982B22">
        <w:rPr>
          <w:rFonts w:eastAsiaTheme="minorEastAsia"/>
          <w:kern w:val="0"/>
          <w:lang w:eastAsia="en-US"/>
        </w:rPr>
        <w:t>"</w:t>
      </w:r>
      <w:r w:rsidRPr="00503D7B">
        <w:rPr>
          <w:rFonts w:eastAsiaTheme="minorEastAsia"/>
          <w:i/>
          <w:iCs/>
          <w:kern w:val="0"/>
          <w:lang w:eastAsia="en-US"/>
        </w:rPr>
        <w:t> Mark. sci</w:t>
      </w:r>
      <w:r w:rsidRPr="00982B22">
        <w:rPr>
          <w:rFonts w:eastAsiaTheme="minorEastAsia"/>
          <w:kern w:val="0"/>
          <w:lang w:eastAsia="en-US"/>
        </w:rPr>
        <w:t>., vol. 34, no. 3, pp. 408–429, 2015.</w:t>
      </w:r>
    </w:p>
    <w:p w14:paraId="111DEBC6" w14:textId="4BBA2488"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L. Taruffi, C. Pehrs, S. Skouras, and S. Koelsch, </w:t>
      </w:r>
      <w:r w:rsidR="00577CA9" w:rsidRPr="00982B22">
        <w:rPr>
          <w:rFonts w:eastAsiaTheme="minorEastAsia"/>
          <w:kern w:val="0"/>
          <w:lang w:eastAsia="en-US"/>
        </w:rPr>
        <w:t>"</w:t>
      </w:r>
      <w:r w:rsidRPr="00982B22">
        <w:rPr>
          <w:rFonts w:eastAsiaTheme="minorEastAsia"/>
          <w:kern w:val="0"/>
          <w:lang w:eastAsia="en-US"/>
        </w:rPr>
        <w:t>Effects of sad and happy music on mind-wandering and the Default Mode Network,</w:t>
      </w:r>
      <w:r w:rsidR="00577CA9" w:rsidRPr="00982B22">
        <w:rPr>
          <w:rFonts w:eastAsiaTheme="minorEastAsia"/>
          <w:kern w:val="0"/>
          <w:lang w:eastAsia="en-US"/>
        </w:rPr>
        <w:t>"</w:t>
      </w:r>
      <w:r w:rsidRPr="00982B22">
        <w:rPr>
          <w:rFonts w:eastAsiaTheme="minorEastAsia"/>
          <w:kern w:val="0"/>
          <w:lang w:eastAsia="en-US"/>
        </w:rPr>
        <w:t xml:space="preserve"> </w:t>
      </w:r>
      <w:r w:rsidRPr="00503D7B">
        <w:rPr>
          <w:rFonts w:eastAsiaTheme="minorEastAsia"/>
          <w:i/>
          <w:iCs/>
          <w:kern w:val="0"/>
          <w:lang w:eastAsia="en-US"/>
        </w:rPr>
        <w:t>Sci. Rep.</w:t>
      </w:r>
      <w:r w:rsidRPr="00982B22">
        <w:rPr>
          <w:rFonts w:eastAsiaTheme="minorEastAsia"/>
          <w:kern w:val="0"/>
          <w:lang w:eastAsia="en-US"/>
        </w:rPr>
        <w:t>, vol. 7, no. 1,</w:t>
      </w:r>
      <w:r w:rsidR="00503D7B">
        <w:rPr>
          <w:rFonts w:eastAsiaTheme="minorEastAsia"/>
          <w:kern w:val="0"/>
          <w:lang w:eastAsia="en-US"/>
        </w:rPr>
        <w:t xml:space="preserve"> </w:t>
      </w:r>
      <w:r w:rsidRPr="00982B22">
        <w:rPr>
          <w:rFonts w:eastAsiaTheme="minorEastAsia"/>
          <w:kern w:val="0"/>
          <w:lang w:eastAsia="en-US"/>
        </w:rPr>
        <w:t>14396, 2017.</w:t>
      </w:r>
    </w:p>
    <w:p w14:paraId="43EAC201" w14:textId="039BEB2A"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E. Palagi, A. Celeghin, M. Tamietto, P. Winkielman, and I. Norscia, </w:t>
      </w:r>
      <w:r w:rsidR="00577CA9" w:rsidRPr="00982B22">
        <w:rPr>
          <w:rFonts w:eastAsiaTheme="minorEastAsia"/>
          <w:kern w:val="0"/>
          <w:lang w:eastAsia="en-US"/>
        </w:rPr>
        <w:t>"</w:t>
      </w:r>
      <w:r w:rsidRPr="00982B22">
        <w:rPr>
          <w:rFonts w:eastAsiaTheme="minorEastAsia"/>
          <w:kern w:val="0"/>
          <w:lang w:eastAsia="en-US"/>
        </w:rPr>
        <w:t>The neuroethology of spontaneous mimicry and emotional contagion in human and non-human animals,</w:t>
      </w:r>
      <w:r w:rsidR="00577CA9" w:rsidRPr="00982B22">
        <w:rPr>
          <w:rFonts w:eastAsiaTheme="minorEastAsia"/>
          <w:kern w:val="0"/>
          <w:lang w:eastAsia="en-US"/>
        </w:rPr>
        <w:t>"</w:t>
      </w:r>
      <w:r w:rsidRPr="00982B22">
        <w:rPr>
          <w:rFonts w:eastAsiaTheme="minorEastAsia"/>
          <w:kern w:val="0"/>
          <w:lang w:eastAsia="en-US"/>
        </w:rPr>
        <w:t xml:space="preserve"> </w:t>
      </w:r>
      <w:r w:rsidRPr="00AE482F">
        <w:rPr>
          <w:rFonts w:eastAsiaTheme="minorEastAsia"/>
          <w:i/>
          <w:iCs/>
          <w:kern w:val="0"/>
          <w:lang w:eastAsia="en-US"/>
        </w:rPr>
        <w:t>Neurosci. Biobehav. Rev.</w:t>
      </w:r>
      <w:r w:rsidRPr="00982B22">
        <w:rPr>
          <w:rFonts w:eastAsiaTheme="minorEastAsia"/>
          <w:kern w:val="0"/>
          <w:lang w:eastAsia="en-US"/>
        </w:rPr>
        <w:t>, vol. 111, pp. 149–165, 2020.</w:t>
      </w:r>
    </w:p>
    <w:p w14:paraId="2021673F" w14:textId="1763820B"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B. N. Frisby, </w:t>
      </w:r>
      <w:r w:rsidR="00577CA9" w:rsidRPr="00982B22">
        <w:rPr>
          <w:rFonts w:eastAsiaTheme="minorEastAsia"/>
          <w:kern w:val="0"/>
          <w:lang w:eastAsia="en-US"/>
        </w:rPr>
        <w:t>"</w:t>
      </w:r>
      <w:r w:rsidRPr="00982B22">
        <w:rPr>
          <w:rFonts w:eastAsiaTheme="minorEastAsia"/>
          <w:kern w:val="0"/>
          <w:lang w:eastAsia="en-US"/>
        </w:rPr>
        <w:t>The influence of emotional contagion on student perceptions of instructor rapport, emotional support, emotion work, valence, and cognitive learning,</w:t>
      </w:r>
      <w:r w:rsidR="00577CA9" w:rsidRPr="00982B22">
        <w:rPr>
          <w:rFonts w:eastAsiaTheme="minorEastAsia"/>
          <w:kern w:val="0"/>
          <w:lang w:eastAsia="en-US"/>
        </w:rPr>
        <w:t>"</w:t>
      </w:r>
      <w:r w:rsidRPr="00982B22">
        <w:rPr>
          <w:rFonts w:eastAsiaTheme="minorEastAsia"/>
          <w:kern w:val="0"/>
          <w:lang w:eastAsia="en-US"/>
        </w:rPr>
        <w:t xml:space="preserve"> </w:t>
      </w:r>
      <w:r w:rsidRPr="00AE482F">
        <w:rPr>
          <w:rFonts w:eastAsiaTheme="minorEastAsia"/>
          <w:i/>
          <w:iCs/>
          <w:kern w:val="0"/>
          <w:lang w:eastAsia="en-US"/>
        </w:rPr>
        <w:t>Commun. Stud.</w:t>
      </w:r>
      <w:r w:rsidRPr="00982B22">
        <w:rPr>
          <w:rFonts w:eastAsiaTheme="minorEastAsia"/>
          <w:kern w:val="0"/>
          <w:lang w:eastAsia="en-US"/>
        </w:rPr>
        <w:t>, vol. 70, no. 4, pp. 492–506, 2019.</w:t>
      </w:r>
    </w:p>
    <w:p w14:paraId="3C82AF48" w14:textId="157BDF5D"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S. Steinert and O. Friedrich, </w:t>
      </w:r>
      <w:r w:rsidR="00577CA9" w:rsidRPr="00982B22">
        <w:rPr>
          <w:rFonts w:eastAsiaTheme="minorEastAsia"/>
          <w:kern w:val="0"/>
          <w:lang w:eastAsia="en-US"/>
        </w:rPr>
        <w:t>"</w:t>
      </w:r>
      <w:r w:rsidRPr="00982B22">
        <w:rPr>
          <w:rFonts w:eastAsiaTheme="minorEastAsia"/>
          <w:kern w:val="0"/>
          <w:lang w:eastAsia="en-US"/>
        </w:rPr>
        <w:t>Wired emotions: Ethical issues of affective brain-computer interfaces,</w:t>
      </w:r>
      <w:r w:rsidR="00577CA9" w:rsidRPr="00982B22">
        <w:rPr>
          <w:rFonts w:eastAsiaTheme="minorEastAsia"/>
          <w:kern w:val="0"/>
          <w:lang w:eastAsia="en-US"/>
        </w:rPr>
        <w:t>"</w:t>
      </w:r>
      <w:r w:rsidRPr="00982B22">
        <w:rPr>
          <w:rFonts w:eastAsiaTheme="minorEastAsia"/>
          <w:kern w:val="0"/>
          <w:lang w:eastAsia="en-US"/>
        </w:rPr>
        <w:t xml:space="preserve"> </w:t>
      </w:r>
      <w:r w:rsidRPr="00AE482F">
        <w:rPr>
          <w:rFonts w:eastAsiaTheme="minorEastAsia"/>
          <w:i/>
          <w:iCs/>
          <w:kern w:val="0"/>
          <w:lang w:eastAsia="en-US"/>
        </w:rPr>
        <w:t>Sci. Eng. Ethics</w:t>
      </w:r>
      <w:r w:rsidRPr="00982B22">
        <w:rPr>
          <w:rFonts w:eastAsiaTheme="minorEastAsia"/>
          <w:kern w:val="0"/>
          <w:lang w:eastAsia="en-US"/>
        </w:rPr>
        <w:t>, vol. 26, no. 1, pp. 351–367, 2020.</w:t>
      </w:r>
    </w:p>
    <w:p w14:paraId="7C8B3D5C" w14:textId="6C21272F"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M. T. Lee and C. Theokary, </w:t>
      </w:r>
      <w:r w:rsidR="00577CA9" w:rsidRPr="00982B22">
        <w:rPr>
          <w:rFonts w:eastAsiaTheme="minorEastAsia"/>
          <w:kern w:val="0"/>
          <w:lang w:eastAsia="en-US"/>
        </w:rPr>
        <w:t>"</w:t>
      </w:r>
      <w:r w:rsidRPr="00982B22">
        <w:rPr>
          <w:rFonts w:eastAsiaTheme="minorEastAsia"/>
          <w:kern w:val="0"/>
          <w:lang w:eastAsia="en-US"/>
        </w:rPr>
        <w:t>The superstar social media influencer: Exploiting linguistic style and emotional contagion over content?,</w:t>
      </w:r>
      <w:r w:rsidR="00577CA9" w:rsidRPr="00982B22">
        <w:rPr>
          <w:rFonts w:eastAsiaTheme="minorEastAsia"/>
          <w:kern w:val="0"/>
          <w:lang w:eastAsia="en-US"/>
        </w:rPr>
        <w:t>"</w:t>
      </w:r>
      <w:r w:rsidRPr="00982B22">
        <w:rPr>
          <w:rFonts w:eastAsiaTheme="minorEastAsia"/>
          <w:kern w:val="0"/>
          <w:lang w:eastAsia="en-US"/>
        </w:rPr>
        <w:t xml:space="preserve"> J. Bus. Res., vol. 132, pp. 860–871, 2021.</w:t>
      </w:r>
    </w:p>
    <w:p w14:paraId="04BDFB52" w14:textId="5D9D2F69"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B34A62">
        <w:rPr>
          <w:rFonts w:eastAsiaTheme="minorEastAsia"/>
          <w:kern w:val="0"/>
          <w:lang w:eastAsia="en-US"/>
        </w:rPr>
        <w:t>A</w:t>
      </w:r>
      <w:r w:rsidRPr="00982B22">
        <w:rPr>
          <w:rFonts w:eastAsiaTheme="minorEastAsia"/>
          <w:kern w:val="0"/>
          <w:lang w:eastAsia="en-US"/>
        </w:rPr>
        <w:t xml:space="preserve">. Gruzd, S. Doiron, and P. Mai, </w:t>
      </w:r>
      <w:r w:rsidR="00577CA9" w:rsidRPr="00982B22">
        <w:rPr>
          <w:rFonts w:eastAsiaTheme="minorEastAsia"/>
          <w:kern w:val="0"/>
          <w:lang w:eastAsia="en-US"/>
        </w:rPr>
        <w:t>"</w:t>
      </w:r>
      <w:r w:rsidRPr="00982B22">
        <w:rPr>
          <w:rFonts w:eastAsiaTheme="minorEastAsia"/>
          <w:kern w:val="0"/>
          <w:lang w:eastAsia="en-US"/>
        </w:rPr>
        <w:t>Is happiness contagious online? A case of twitter and the 2010 winter Olympics,</w:t>
      </w:r>
      <w:r w:rsidR="00577CA9" w:rsidRPr="00982B22">
        <w:rPr>
          <w:rFonts w:eastAsiaTheme="minorEastAsia"/>
          <w:kern w:val="0"/>
          <w:lang w:eastAsia="en-US"/>
        </w:rPr>
        <w:t>"</w:t>
      </w:r>
      <w:r w:rsidRPr="00982B22">
        <w:rPr>
          <w:rFonts w:eastAsiaTheme="minorEastAsia"/>
          <w:kern w:val="0"/>
          <w:lang w:eastAsia="en-US"/>
        </w:rPr>
        <w:t xml:space="preserve"> in 2011 44th Hawaii International Conference on System Sciences,</w:t>
      </w:r>
      <w:r w:rsidR="00B34A62" w:rsidRPr="00B34A62">
        <w:t xml:space="preserve"> </w:t>
      </w:r>
      <w:r w:rsidR="00B34A62" w:rsidRPr="00B34A62">
        <w:rPr>
          <w:rFonts w:eastAsiaTheme="minorEastAsia"/>
          <w:kern w:val="0"/>
          <w:lang w:eastAsia="en-US"/>
        </w:rPr>
        <w:t>Kauai, HI, USA</w:t>
      </w:r>
      <w:r w:rsidR="00B34A62">
        <w:rPr>
          <w:rFonts w:eastAsiaTheme="minorEastAsia"/>
          <w:kern w:val="0"/>
          <w:lang w:eastAsia="en-US"/>
        </w:rPr>
        <w:t>,</w:t>
      </w:r>
      <w:r w:rsidRPr="00982B22">
        <w:rPr>
          <w:rFonts w:eastAsiaTheme="minorEastAsia"/>
          <w:kern w:val="0"/>
          <w:lang w:eastAsia="en-US"/>
        </w:rPr>
        <w:t xml:space="preserve"> 2011</w:t>
      </w:r>
      <w:r w:rsidR="00B34A62">
        <w:rPr>
          <w:rFonts w:eastAsiaTheme="minorEastAsia"/>
          <w:kern w:val="0"/>
          <w:lang w:eastAsia="en-US"/>
        </w:rPr>
        <w:t xml:space="preserve">, pp. </w:t>
      </w:r>
      <w:r w:rsidR="00B34A62" w:rsidRPr="00B34A62">
        <w:rPr>
          <w:rFonts w:eastAsiaTheme="minorEastAsia"/>
          <w:kern w:val="0"/>
          <w:lang w:eastAsia="en-US"/>
        </w:rPr>
        <w:t>1530-1605</w:t>
      </w:r>
      <w:r w:rsidR="00B34A62">
        <w:rPr>
          <w:rFonts w:eastAsiaTheme="minorEastAsia"/>
          <w:kern w:val="0"/>
          <w:lang w:eastAsia="en-US"/>
        </w:rPr>
        <w:t>.</w:t>
      </w:r>
    </w:p>
    <w:p w14:paraId="075F26E0" w14:textId="77777777"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J. Bollen, B. Gonçalves, G. Ruan, and H. Mao, “Happiness is assortative in online social networks,” </w:t>
      </w:r>
      <w:r w:rsidRPr="00AE482F">
        <w:rPr>
          <w:rFonts w:eastAsiaTheme="minorEastAsia"/>
          <w:i/>
          <w:iCs/>
          <w:kern w:val="0"/>
          <w:lang w:eastAsia="en-US"/>
        </w:rPr>
        <w:t>Artif. Life</w:t>
      </w:r>
      <w:r w:rsidRPr="00982B22">
        <w:rPr>
          <w:rFonts w:eastAsiaTheme="minorEastAsia"/>
          <w:kern w:val="0"/>
          <w:lang w:eastAsia="en-US"/>
        </w:rPr>
        <w:t>, vol. 17, no. 3, pp. 237–251, Summer 2011.</w:t>
      </w:r>
    </w:p>
    <w:p w14:paraId="686307AF" w14:textId="2F412811"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P. Gross and K.-P. Wiedmann, </w:t>
      </w:r>
      <w:r w:rsidR="00577CA9" w:rsidRPr="00982B22">
        <w:rPr>
          <w:rFonts w:eastAsiaTheme="minorEastAsia"/>
          <w:kern w:val="0"/>
          <w:lang w:eastAsia="en-US"/>
        </w:rPr>
        <w:t>"</w:t>
      </w:r>
      <w:r w:rsidRPr="00982B22">
        <w:rPr>
          <w:rFonts w:eastAsiaTheme="minorEastAsia"/>
          <w:kern w:val="0"/>
          <w:lang w:eastAsia="en-US"/>
        </w:rPr>
        <w:t>The vigor of a disregarded ally in sponsorship: Brand image transfer effects arising from a cosponsor: The vigor of a disregarded ally in sponsorship,</w:t>
      </w:r>
      <w:r w:rsidR="00577CA9" w:rsidRPr="00982B22">
        <w:rPr>
          <w:rFonts w:eastAsiaTheme="minorEastAsia"/>
          <w:kern w:val="0"/>
          <w:lang w:eastAsia="en-US"/>
        </w:rPr>
        <w:t>"</w:t>
      </w:r>
      <w:r w:rsidRPr="00982B22">
        <w:rPr>
          <w:rFonts w:eastAsiaTheme="minorEastAsia"/>
          <w:kern w:val="0"/>
          <w:lang w:eastAsia="en-US"/>
        </w:rPr>
        <w:t xml:space="preserve"> </w:t>
      </w:r>
      <w:r w:rsidRPr="00AE482F">
        <w:rPr>
          <w:rFonts w:eastAsiaTheme="minorEastAsia"/>
          <w:i/>
          <w:iCs/>
          <w:kern w:val="0"/>
          <w:lang w:eastAsia="en-US"/>
        </w:rPr>
        <w:t>Psychol. Mark</w:t>
      </w:r>
      <w:r w:rsidRPr="00982B22">
        <w:rPr>
          <w:rFonts w:eastAsiaTheme="minorEastAsia"/>
          <w:kern w:val="0"/>
          <w:lang w:eastAsia="en-US"/>
        </w:rPr>
        <w:t>., vol. 32, no. 11, pp. 1079–1097, 2015.</w:t>
      </w:r>
    </w:p>
    <w:p w14:paraId="3A2ABA23" w14:textId="4C517764"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D. Sahoo and S. S. Pillai, </w:t>
      </w:r>
      <w:r w:rsidR="00577CA9" w:rsidRPr="00982B22">
        <w:rPr>
          <w:rFonts w:eastAsiaTheme="minorEastAsia"/>
          <w:kern w:val="0"/>
          <w:lang w:eastAsia="en-US"/>
        </w:rPr>
        <w:t>"</w:t>
      </w:r>
      <w:r w:rsidRPr="00982B22">
        <w:rPr>
          <w:rFonts w:eastAsiaTheme="minorEastAsia"/>
          <w:kern w:val="0"/>
          <w:lang w:eastAsia="en-US"/>
        </w:rPr>
        <w:t>Role of mobile banking servicescape on customer attitude and engagement: An empirical investigation in India,</w:t>
      </w:r>
      <w:r w:rsidR="00577CA9" w:rsidRPr="00982B22">
        <w:rPr>
          <w:rFonts w:eastAsiaTheme="minorEastAsia"/>
          <w:kern w:val="0"/>
          <w:lang w:eastAsia="en-US"/>
        </w:rPr>
        <w:t>"</w:t>
      </w:r>
      <w:r w:rsidRPr="00AE482F">
        <w:rPr>
          <w:rFonts w:eastAsiaTheme="minorEastAsia"/>
          <w:i/>
          <w:iCs/>
          <w:kern w:val="0"/>
          <w:lang w:eastAsia="en-US"/>
        </w:rPr>
        <w:t xml:space="preserve"> Int. J. Bank Mark</w:t>
      </w:r>
      <w:r w:rsidRPr="00982B22">
        <w:rPr>
          <w:rFonts w:eastAsiaTheme="minorEastAsia"/>
          <w:kern w:val="0"/>
          <w:lang w:eastAsia="en-US"/>
        </w:rPr>
        <w:t>., vol. 35, no. 7, pp. 1115–1132, 2017.</w:t>
      </w:r>
    </w:p>
    <w:p w14:paraId="1433AA55" w14:textId="07EECF61"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F. Boronczyk and C. Breuer, </w:t>
      </w:r>
      <w:r w:rsidR="00577CA9" w:rsidRPr="00982B22">
        <w:rPr>
          <w:rFonts w:eastAsiaTheme="minorEastAsia"/>
          <w:kern w:val="0"/>
          <w:lang w:eastAsia="en-US"/>
        </w:rPr>
        <w:t>"</w:t>
      </w:r>
      <w:r w:rsidRPr="00982B22">
        <w:rPr>
          <w:rFonts w:eastAsiaTheme="minorEastAsia"/>
          <w:kern w:val="0"/>
          <w:lang w:eastAsia="en-US"/>
        </w:rPr>
        <w:t>Brand-related feelings and sponsor attitude formation,</w:t>
      </w:r>
      <w:r w:rsidR="00577CA9" w:rsidRPr="00982B22">
        <w:rPr>
          <w:rFonts w:eastAsiaTheme="minorEastAsia"/>
          <w:kern w:val="0"/>
          <w:lang w:eastAsia="en-US"/>
        </w:rPr>
        <w:t>"</w:t>
      </w:r>
      <w:r w:rsidRPr="00AE482F">
        <w:rPr>
          <w:rFonts w:eastAsiaTheme="minorEastAsia"/>
          <w:i/>
          <w:iCs/>
          <w:kern w:val="0"/>
          <w:lang w:eastAsia="en-US"/>
        </w:rPr>
        <w:t xml:space="preserve"> Int. J. Sports Mark. Spons</w:t>
      </w:r>
      <w:r w:rsidRPr="00982B22">
        <w:rPr>
          <w:rFonts w:eastAsiaTheme="minorEastAsia"/>
          <w:kern w:val="0"/>
          <w:lang w:eastAsia="en-US"/>
        </w:rPr>
        <w:t>., vol. 21, no. 3, pp. 513–526, 2020.</w:t>
      </w:r>
    </w:p>
    <w:p w14:paraId="1D1A3BA6" w14:textId="211909FF"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N.-H. Um, </w:t>
      </w:r>
      <w:r w:rsidR="00577CA9" w:rsidRPr="00982B22">
        <w:rPr>
          <w:rFonts w:eastAsiaTheme="minorEastAsia"/>
          <w:kern w:val="0"/>
          <w:lang w:eastAsia="en-US"/>
        </w:rPr>
        <w:t>"</w:t>
      </w:r>
      <w:r w:rsidRPr="00982B22">
        <w:rPr>
          <w:rFonts w:eastAsiaTheme="minorEastAsia"/>
          <w:kern w:val="0"/>
          <w:lang w:eastAsia="en-US"/>
        </w:rPr>
        <w:t>Antecedents and consequences of consumers</w:t>
      </w:r>
      <w:r w:rsidR="00577CA9" w:rsidRPr="00982B22">
        <w:rPr>
          <w:rFonts w:eastAsiaTheme="minorEastAsia"/>
          <w:kern w:val="0"/>
          <w:lang w:eastAsia="en-US"/>
        </w:rPr>
        <w:t>'</w:t>
      </w:r>
      <w:r w:rsidRPr="00982B22">
        <w:rPr>
          <w:rFonts w:eastAsiaTheme="minorEastAsia"/>
          <w:kern w:val="0"/>
          <w:lang w:eastAsia="en-US"/>
        </w:rPr>
        <w:t xml:space="preserve"> attitude toward social commerce sites,</w:t>
      </w:r>
      <w:r w:rsidR="00577CA9" w:rsidRPr="00982B22">
        <w:rPr>
          <w:rFonts w:eastAsiaTheme="minorEastAsia"/>
          <w:kern w:val="0"/>
          <w:lang w:eastAsia="en-US"/>
        </w:rPr>
        <w:t>"</w:t>
      </w:r>
      <w:r w:rsidRPr="00982B22">
        <w:rPr>
          <w:rFonts w:eastAsiaTheme="minorEastAsia"/>
          <w:kern w:val="0"/>
          <w:lang w:eastAsia="en-US"/>
        </w:rPr>
        <w:t xml:space="preserve"> </w:t>
      </w:r>
      <w:r w:rsidRPr="00AE482F">
        <w:rPr>
          <w:rFonts w:eastAsiaTheme="minorEastAsia"/>
          <w:i/>
          <w:iCs/>
          <w:kern w:val="0"/>
          <w:lang w:eastAsia="en-US"/>
        </w:rPr>
        <w:t>J. Promot. Manag</w:t>
      </w:r>
      <w:r w:rsidRPr="00982B22">
        <w:rPr>
          <w:rFonts w:eastAsiaTheme="minorEastAsia"/>
          <w:kern w:val="0"/>
          <w:lang w:eastAsia="en-US"/>
        </w:rPr>
        <w:t>., vol. 25, no. 4, pp. 500–519, 2019.</w:t>
      </w:r>
    </w:p>
    <w:p w14:paraId="126F0EB2" w14:textId="07CEC926"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Y. H. Lee, H. H. Kwon, and K. A. Richards, </w:t>
      </w:r>
      <w:r w:rsidR="00577CA9" w:rsidRPr="00982B22">
        <w:rPr>
          <w:rFonts w:eastAsiaTheme="minorEastAsia"/>
          <w:kern w:val="0"/>
          <w:lang w:eastAsia="en-US"/>
        </w:rPr>
        <w:t>"</w:t>
      </w:r>
      <w:r w:rsidRPr="00982B22">
        <w:rPr>
          <w:rFonts w:eastAsiaTheme="minorEastAsia"/>
          <w:kern w:val="0"/>
          <w:lang w:eastAsia="en-US"/>
        </w:rPr>
        <w:t xml:space="preserve">Emotional intelligence, unpleasant </w:t>
      </w:r>
      <w:r w:rsidRPr="00982B22">
        <w:rPr>
          <w:rFonts w:eastAsiaTheme="minorEastAsia"/>
          <w:kern w:val="0"/>
          <w:lang w:eastAsia="en-US"/>
        </w:rPr>
        <w:lastRenderedPageBreak/>
        <w:t>emotions, emotional exhaustion, and job satisfaction in physical education teaching,</w:t>
      </w:r>
      <w:r w:rsidR="00577CA9" w:rsidRPr="00982B22">
        <w:rPr>
          <w:rFonts w:eastAsiaTheme="minorEastAsia"/>
          <w:kern w:val="0"/>
          <w:lang w:eastAsia="en-US"/>
        </w:rPr>
        <w:t>"</w:t>
      </w:r>
      <w:r w:rsidRPr="00982B22">
        <w:rPr>
          <w:rFonts w:eastAsiaTheme="minorEastAsia"/>
          <w:kern w:val="0"/>
          <w:lang w:eastAsia="en-US"/>
        </w:rPr>
        <w:t xml:space="preserve"> </w:t>
      </w:r>
      <w:r w:rsidRPr="00AE482F">
        <w:rPr>
          <w:rFonts w:eastAsiaTheme="minorEastAsia"/>
          <w:i/>
          <w:iCs/>
          <w:kern w:val="0"/>
          <w:lang w:eastAsia="en-US"/>
        </w:rPr>
        <w:t>J. Teach. Phys. Educ</w:t>
      </w:r>
      <w:r w:rsidRPr="00982B22">
        <w:rPr>
          <w:rFonts w:eastAsiaTheme="minorEastAsia"/>
          <w:kern w:val="0"/>
          <w:lang w:eastAsia="en-US"/>
        </w:rPr>
        <w:t xml:space="preserve">., </w:t>
      </w:r>
      <w:r w:rsidR="00AE482F">
        <w:rPr>
          <w:rFonts w:eastAsiaTheme="minorEastAsia"/>
          <w:kern w:val="0"/>
          <w:lang w:eastAsia="en-US"/>
        </w:rPr>
        <w:t xml:space="preserve">vol. 38, no. 3, </w:t>
      </w:r>
      <w:r w:rsidRPr="00982B22">
        <w:rPr>
          <w:rFonts w:eastAsiaTheme="minorEastAsia"/>
          <w:kern w:val="0"/>
          <w:lang w:eastAsia="en-US"/>
        </w:rPr>
        <w:t>pp.</w:t>
      </w:r>
      <w:r w:rsidR="00AE482F">
        <w:rPr>
          <w:rFonts w:eastAsiaTheme="minorEastAsia"/>
          <w:kern w:val="0"/>
          <w:lang w:eastAsia="en-US"/>
        </w:rPr>
        <w:t xml:space="preserve"> 262</w:t>
      </w:r>
      <w:r w:rsidRPr="00982B22">
        <w:rPr>
          <w:rFonts w:eastAsiaTheme="minorEastAsia"/>
          <w:kern w:val="0"/>
          <w:lang w:eastAsia="en-US"/>
        </w:rPr>
        <w:t>–</w:t>
      </w:r>
      <w:r w:rsidR="00AE482F">
        <w:rPr>
          <w:rFonts w:eastAsiaTheme="minorEastAsia"/>
          <w:kern w:val="0"/>
          <w:lang w:eastAsia="en-US"/>
        </w:rPr>
        <w:t>270</w:t>
      </w:r>
      <w:r w:rsidRPr="00982B22">
        <w:rPr>
          <w:rFonts w:eastAsiaTheme="minorEastAsia"/>
          <w:kern w:val="0"/>
          <w:lang w:eastAsia="en-US"/>
        </w:rPr>
        <w:t>, 2019.</w:t>
      </w:r>
    </w:p>
    <w:p w14:paraId="49938FC4" w14:textId="4CF9C705"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P. Banerjee and M. Srivastava, </w:t>
      </w:r>
      <w:r w:rsidR="00577CA9" w:rsidRPr="00982B22">
        <w:rPr>
          <w:rFonts w:eastAsiaTheme="minorEastAsia"/>
          <w:kern w:val="0"/>
          <w:lang w:eastAsia="en-US"/>
        </w:rPr>
        <w:t>"</w:t>
      </w:r>
      <w:r w:rsidRPr="00982B22">
        <w:rPr>
          <w:rFonts w:eastAsiaTheme="minorEastAsia"/>
          <w:kern w:val="0"/>
          <w:lang w:eastAsia="en-US"/>
        </w:rPr>
        <w:t>A review of emotional contagion: Research propositions,</w:t>
      </w:r>
      <w:r w:rsidR="00577CA9" w:rsidRPr="00982B22">
        <w:rPr>
          <w:rFonts w:eastAsiaTheme="minorEastAsia"/>
          <w:kern w:val="0"/>
          <w:lang w:eastAsia="en-US"/>
        </w:rPr>
        <w:t>"</w:t>
      </w:r>
      <w:r w:rsidRPr="00982B22">
        <w:rPr>
          <w:rFonts w:eastAsiaTheme="minorEastAsia"/>
          <w:kern w:val="0"/>
          <w:lang w:eastAsia="en-US"/>
        </w:rPr>
        <w:t xml:space="preserve"> </w:t>
      </w:r>
      <w:r w:rsidRPr="00AE482F">
        <w:rPr>
          <w:rFonts w:eastAsiaTheme="minorEastAsia"/>
          <w:i/>
          <w:iCs/>
          <w:kern w:val="0"/>
          <w:lang w:eastAsia="en-US"/>
        </w:rPr>
        <w:t>J. Manag. Res</w:t>
      </w:r>
      <w:r w:rsidRPr="00982B22">
        <w:rPr>
          <w:rFonts w:eastAsiaTheme="minorEastAsia"/>
          <w:kern w:val="0"/>
          <w:lang w:eastAsia="en-US"/>
        </w:rPr>
        <w:t>., vol. 19, no. 4, pp. 250–266, 2019.</w:t>
      </w:r>
    </w:p>
    <w:p w14:paraId="3CFF2885" w14:textId="17B5610A"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B. Hallinan, J. R. Brubaker, and C. Fiesler, </w:t>
      </w:r>
      <w:r w:rsidR="00577CA9" w:rsidRPr="00982B22">
        <w:rPr>
          <w:rFonts w:eastAsiaTheme="minorEastAsia"/>
          <w:kern w:val="0"/>
          <w:lang w:eastAsia="en-US"/>
        </w:rPr>
        <w:t>"</w:t>
      </w:r>
      <w:r w:rsidRPr="00982B22">
        <w:rPr>
          <w:rFonts w:eastAsiaTheme="minorEastAsia"/>
          <w:kern w:val="0"/>
          <w:lang w:eastAsia="en-US"/>
        </w:rPr>
        <w:t>Unexpected expectations: Public reaction to the Facebook emotional contagion study,</w:t>
      </w:r>
      <w:r w:rsidR="00577CA9" w:rsidRPr="00982B22">
        <w:rPr>
          <w:rFonts w:eastAsiaTheme="minorEastAsia"/>
          <w:kern w:val="0"/>
          <w:lang w:eastAsia="en-US"/>
        </w:rPr>
        <w:t>"</w:t>
      </w:r>
      <w:r w:rsidRPr="00982B22">
        <w:rPr>
          <w:rFonts w:eastAsiaTheme="minorEastAsia"/>
          <w:kern w:val="0"/>
          <w:lang w:eastAsia="en-US"/>
        </w:rPr>
        <w:t xml:space="preserve"> </w:t>
      </w:r>
      <w:r w:rsidRPr="00AE482F">
        <w:rPr>
          <w:rFonts w:eastAsiaTheme="minorEastAsia"/>
          <w:i/>
          <w:iCs/>
          <w:kern w:val="0"/>
          <w:lang w:eastAsia="en-US"/>
        </w:rPr>
        <w:t>New Media Soc</w:t>
      </w:r>
      <w:r w:rsidRPr="00982B22">
        <w:rPr>
          <w:rFonts w:eastAsiaTheme="minorEastAsia"/>
          <w:kern w:val="0"/>
          <w:lang w:eastAsia="en-US"/>
        </w:rPr>
        <w:t>., vol. 22, no. 6, pp. 1076–1094, 2020.</w:t>
      </w:r>
    </w:p>
    <w:p w14:paraId="23C259C0" w14:textId="0B135608"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S. M. C. Loureiro, K. H. Ruediger, and V. Demetris, </w:t>
      </w:r>
      <w:r w:rsidR="00577CA9" w:rsidRPr="00982B22">
        <w:rPr>
          <w:rFonts w:eastAsiaTheme="minorEastAsia"/>
          <w:kern w:val="0"/>
          <w:lang w:eastAsia="en-US"/>
        </w:rPr>
        <w:t>"</w:t>
      </w:r>
      <w:r w:rsidRPr="00982B22">
        <w:rPr>
          <w:rFonts w:eastAsiaTheme="minorEastAsia"/>
          <w:kern w:val="0"/>
          <w:lang w:eastAsia="en-US"/>
        </w:rPr>
        <w:t>Brand emotional connection and loyalty,</w:t>
      </w:r>
      <w:r w:rsidR="00577CA9" w:rsidRPr="00982B22">
        <w:rPr>
          <w:rFonts w:eastAsiaTheme="minorEastAsia"/>
          <w:kern w:val="0"/>
          <w:lang w:eastAsia="en-US"/>
        </w:rPr>
        <w:t>"</w:t>
      </w:r>
      <w:r w:rsidRPr="00982B22">
        <w:rPr>
          <w:rFonts w:eastAsiaTheme="minorEastAsia"/>
          <w:kern w:val="0"/>
          <w:lang w:eastAsia="en-US"/>
        </w:rPr>
        <w:t> </w:t>
      </w:r>
      <w:r w:rsidRPr="00AE482F">
        <w:rPr>
          <w:rFonts w:eastAsiaTheme="minorEastAsia"/>
          <w:i/>
          <w:iCs/>
          <w:kern w:val="0"/>
          <w:lang w:eastAsia="en-US"/>
        </w:rPr>
        <w:t>J. Brand Manag.</w:t>
      </w:r>
      <w:r w:rsidRPr="00982B22">
        <w:rPr>
          <w:rFonts w:eastAsiaTheme="minorEastAsia"/>
          <w:kern w:val="0"/>
          <w:lang w:eastAsia="en-US"/>
        </w:rPr>
        <w:t>, vol. 20, no. 1, pp. 13–27, 2012.</w:t>
      </w:r>
    </w:p>
    <w:p w14:paraId="71F9CFA6" w14:textId="6AB79AF3"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J. Berger and K. L. Milkman, </w:t>
      </w:r>
      <w:r w:rsidR="00577CA9" w:rsidRPr="00982B22">
        <w:rPr>
          <w:rFonts w:eastAsiaTheme="minorEastAsia"/>
          <w:kern w:val="0"/>
          <w:lang w:eastAsia="en-US"/>
        </w:rPr>
        <w:t>"</w:t>
      </w:r>
      <w:r w:rsidRPr="00982B22">
        <w:rPr>
          <w:rFonts w:eastAsiaTheme="minorEastAsia"/>
          <w:kern w:val="0"/>
          <w:lang w:eastAsia="en-US"/>
        </w:rPr>
        <w:t>Emotion and virality: What makes online content go viral?,</w:t>
      </w:r>
      <w:r w:rsidR="00577CA9" w:rsidRPr="00982B22">
        <w:rPr>
          <w:rFonts w:eastAsiaTheme="minorEastAsia"/>
          <w:kern w:val="0"/>
          <w:lang w:eastAsia="en-US"/>
        </w:rPr>
        <w:t>"</w:t>
      </w:r>
      <w:r w:rsidRPr="00982B22">
        <w:rPr>
          <w:rFonts w:eastAsiaTheme="minorEastAsia"/>
          <w:kern w:val="0"/>
          <w:lang w:eastAsia="en-US"/>
        </w:rPr>
        <w:t xml:space="preserve"> </w:t>
      </w:r>
      <w:r w:rsidRPr="00AE482F">
        <w:rPr>
          <w:rFonts w:eastAsiaTheme="minorEastAsia"/>
          <w:i/>
          <w:iCs/>
          <w:kern w:val="0"/>
          <w:lang w:eastAsia="en-US"/>
        </w:rPr>
        <w:t>GfK mark. intell. rev.</w:t>
      </w:r>
      <w:r w:rsidRPr="00982B22">
        <w:rPr>
          <w:rFonts w:eastAsiaTheme="minorEastAsia"/>
          <w:kern w:val="0"/>
          <w:lang w:eastAsia="en-US"/>
        </w:rPr>
        <w:t>, vol. 5, no. 1, pp. 18–23, 2013.</w:t>
      </w:r>
    </w:p>
    <w:p w14:paraId="179FF64A" w14:textId="7BF086E9"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S. Du, Y. Tao, and A. M. Martinez, </w:t>
      </w:r>
      <w:r w:rsidR="00577CA9" w:rsidRPr="00982B22">
        <w:rPr>
          <w:rFonts w:eastAsiaTheme="minorEastAsia"/>
          <w:kern w:val="0"/>
          <w:lang w:eastAsia="en-US"/>
        </w:rPr>
        <w:t>"</w:t>
      </w:r>
      <w:r w:rsidRPr="00982B22">
        <w:rPr>
          <w:rFonts w:eastAsiaTheme="minorEastAsia"/>
          <w:kern w:val="0"/>
          <w:lang w:eastAsia="en-US"/>
        </w:rPr>
        <w:t>Compound facial expressions of emotion,</w:t>
      </w:r>
      <w:r w:rsidR="00577CA9" w:rsidRPr="00982B22">
        <w:rPr>
          <w:rFonts w:eastAsiaTheme="minorEastAsia"/>
          <w:kern w:val="0"/>
          <w:lang w:eastAsia="en-US"/>
        </w:rPr>
        <w:t>"</w:t>
      </w:r>
      <w:r w:rsidRPr="00982B22">
        <w:rPr>
          <w:rFonts w:eastAsiaTheme="minorEastAsia"/>
          <w:kern w:val="0"/>
          <w:lang w:eastAsia="en-US"/>
        </w:rPr>
        <w:t xml:space="preserve"> </w:t>
      </w:r>
      <w:r w:rsidRPr="00AE482F">
        <w:rPr>
          <w:rFonts w:eastAsiaTheme="minorEastAsia"/>
          <w:i/>
          <w:iCs/>
          <w:kern w:val="0"/>
          <w:lang w:eastAsia="en-US"/>
        </w:rPr>
        <w:t>Proc. Natl. Acad. Sci. U. S. A</w:t>
      </w:r>
      <w:r w:rsidRPr="00982B22">
        <w:rPr>
          <w:rFonts w:eastAsiaTheme="minorEastAsia"/>
          <w:kern w:val="0"/>
          <w:lang w:eastAsia="en-US"/>
        </w:rPr>
        <w:t>., vol. 111, no. 15, pp. 1454-</w:t>
      </w:r>
      <w:r w:rsidR="00AE482F">
        <w:rPr>
          <w:rFonts w:eastAsiaTheme="minorEastAsia"/>
          <w:kern w:val="0"/>
          <w:lang w:eastAsia="en-US"/>
        </w:rPr>
        <w:t>14</w:t>
      </w:r>
      <w:r w:rsidRPr="00982B22">
        <w:rPr>
          <w:rFonts w:eastAsiaTheme="minorEastAsia"/>
          <w:kern w:val="0"/>
          <w:lang w:eastAsia="en-US"/>
        </w:rPr>
        <w:t>62, 2014.</w:t>
      </w:r>
    </w:p>
    <w:p w14:paraId="6EB82668" w14:textId="5B926607"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J. Hasford, D. M. Hardesty, and B. Kidwell, </w:t>
      </w:r>
      <w:r w:rsidR="00577CA9" w:rsidRPr="00982B22">
        <w:rPr>
          <w:rFonts w:eastAsiaTheme="minorEastAsia"/>
          <w:kern w:val="0"/>
          <w:lang w:eastAsia="en-US"/>
        </w:rPr>
        <w:t>"</w:t>
      </w:r>
      <w:r w:rsidRPr="00982B22">
        <w:rPr>
          <w:rFonts w:eastAsiaTheme="minorEastAsia"/>
          <w:kern w:val="0"/>
          <w:lang w:eastAsia="en-US"/>
        </w:rPr>
        <w:t>More than a feeling: Emotional contagion effects in persuasive communication,</w:t>
      </w:r>
      <w:r w:rsidR="00577CA9" w:rsidRPr="00982B22">
        <w:rPr>
          <w:rFonts w:eastAsiaTheme="minorEastAsia"/>
          <w:kern w:val="0"/>
          <w:lang w:eastAsia="en-US"/>
        </w:rPr>
        <w:t>"</w:t>
      </w:r>
      <w:r w:rsidRPr="00982B22">
        <w:rPr>
          <w:rFonts w:eastAsiaTheme="minorEastAsia"/>
          <w:kern w:val="0"/>
          <w:lang w:eastAsia="en-US"/>
        </w:rPr>
        <w:t xml:space="preserve"> </w:t>
      </w:r>
      <w:r w:rsidRPr="00AE482F">
        <w:rPr>
          <w:rFonts w:eastAsiaTheme="minorEastAsia"/>
          <w:i/>
          <w:iCs/>
          <w:kern w:val="0"/>
          <w:lang w:eastAsia="en-US"/>
        </w:rPr>
        <w:t>J Hettiarachchi. Mark. Res.</w:t>
      </w:r>
      <w:r w:rsidRPr="00982B22">
        <w:rPr>
          <w:rFonts w:eastAsiaTheme="minorEastAsia"/>
          <w:kern w:val="0"/>
          <w:lang w:eastAsia="en-US"/>
        </w:rPr>
        <w:t>, vol. 52, no. 6, pp. 836–847, 2015.</w:t>
      </w:r>
    </w:p>
    <w:p w14:paraId="29A66675" w14:textId="62107C89"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I. B. Yahia, N. Al-Neama, and L. Kerbache, </w:t>
      </w:r>
      <w:r w:rsidR="00577CA9" w:rsidRPr="00982B22">
        <w:rPr>
          <w:rFonts w:eastAsiaTheme="minorEastAsia"/>
          <w:kern w:val="0"/>
          <w:lang w:eastAsia="en-US"/>
        </w:rPr>
        <w:t>"</w:t>
      </w:r>
      <w:r w:rsidRPr="00982B22">
        <w:rPr>
          <w:rFonts w:eastAsiaTheme="minorEastAsia"/>
          <w:kern w:val="0"/>
          <w:lang w:eastAsia="en-US"/>
        </w:rPr>
        <w:t>Investigating the drivers for social commerce in social media platforms: Importance of trust, social support and the platform perceived usage,</w:t>
      </w:r>
      <w:r w:rsidR="00577CA9" w:rsidRPr="00982B22">
        <w:rPr>
          <w:rFonts w:eastAsiaTheme="minorEastAsia"/>
          <w:kern w:val="0"/>
          <w:lang w:eastAsia="en-US"/>
        </w:rPr>
        <w:t>"</w:t>
      </w:r>
      <w:r w:rsidRPr="00982B22">
        <w:rPr>
          <w:rFonts w:eastAsiaTheme="minorEastAsia"/>
          <w:kern w:val="0"/>
          <w:lang w:eastAsia="en-US"/>
        </w:rPr>
        <w:t xml:space="preserve"> </w:t>
      </w:r>
      <w:r w:rsidRPr="00AE482F">
        <w:rPr>
          <w:rFonts w:eastAsiaTheme="minorEastAsia"/>
          <w:i/>
          <w:iCs/>
          <w:kern w:val="0"/>
          <w:lang w:eastAsia="en-US"/>
        </w:rPr>
        <w:t>J. Retail. Consum. Serv</w:t>
      </w:r>
      <w:r w:rsidRPr="00982B22">
        <w:rPr>
          <w:rFonts w:eastAsiaTheme="minorEastAsia"/>
          <w:kern w:val="0"/>
          <w:lang w:eastAsia="en-US"/>
        </w:rPr>
        <w:t>., vol. 41, pp. 11–19, 2018.</w:t>
      </w:r>
    </w:p>
    <w:p w14:paraId="6FB567F3" w14:textId="4EF664FE"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N. S. Coulson, </w:t>
      </w:r>
      <w:r w:rsidR="00577CA9" w:rsidRPr="00982B22">
        <w:rPr>
          <w:rFonts w:eastAsiaTheme="minorEastAsia"/>
          <w:kern w:val="0"/>
          <w:lang w:eastAsia="en-US"/>
        </w:rPr>
        <w:t>"</w:t>
      </w:r>
      <w:r w:rsidRPr="00982B22">
        <w:rPr>
          <w:rFonts w:eastAsiaTheme="minorEastAsia"/>
          <w:kern w:val="0"/>
          <w:lang w:eastAsia="en-US"/>
        </w:rPr>
        <w:t>Receiving social support online: an analysis of a computer-mediated support group for individuals living with irritable bowel syndrome,</w:t>
      </w:r>
      <w:r w:rsidR="00577CA9" w:rsidRPr="00982B22">
        <w:rPr>
          <w:rFonts w:eastAsiaTheme="minorEastAsia"/>
          <w:kern w:val="0"/>
          <w:lang w:eastAsia="en-US"/>
        </w:rPr>
        <w:t>"</w:t>
      </w:r>
      <w:r w:rsidRPr="00982B22">
        <w:rPr>
          <w:rFonts w:eastAsiaTheme="minorEastAsia"/>
          <w:kern w:val="0"/>
          <w:lang w:eastAsia="en-US"/>
        </w:rPr>
        <w:t xml:space="preserve"> </w:t>
      </w:r>
      <w:r w:rsidRPr="00AF7C6B">
        <w:rPr>
          <w:rFonts w:eastAsiaTheme="minorEastAsia"/>
          <w:i/>
          <w:iCs/>
          <w:kern w:val="0"/>
          <w:lang w:eastAsia="en-US"/>
        </w:rPr>
        <w:t>Cyberpsychol. Behav</w:t>
      </w:r>
      <w:r w:rsidRPr="00982B22">
        <w:rPr>
          <w:rFonts w:eastAsiaTheme="minorEastAsia"/>
          <w:kern w:val="0"/>
          <w:lang w:eastAsia="en-US"/>
        </w:rPr>
        <w:t>., vol. 8, no. 6, pp. 580–584, 2005.</w:t>
      </w:r>
    </w:p>
    <w:p w14:paraId="1D61C021" w14:textId="2953F350"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H. Chahal and A. Rani, </w:t>
      </w:r>
      <w:r w:rsidR="00577CA9" w:rsidRPr="00982B22">
        <w:rPr>
          <w:rFonts w:eastAsiaTheme="minorEastAsia"/>
          <w:kern w:val="0"/>
          <w:lang w:eastAsia="en-US"/>
        </w:rPr>
        <w:t>"</w:t>
      </w:r>
      <w:r w:rsidRPr="00982B22">
        <w:rPr>
          <w:rFonts w:eastAsiaTheme="minorEastAsia"/>
          <w:kern w:val="0"/>
          <w:lang w:eastAsia="en-US"/>
        </w:rPr>
        <w:t>How trust moderates social media engagement and brand equity,</w:t>
      </w:r>
      <w:r w:rsidR="00577CA9" w:rsidRPr="00982B22">
        <w:rPr>
          <w:rFonts w:eastAsiaTheme="minorEastAsia"/>
          <w:kern w:val="0"/>
          <w:lang w:eastAsia="en-US"/>
        </w:rPr>
        <w:t>"</w:t>
      </w:r>
      <w:r w:rsidRPr="00982B22">
        <w:rPr>
          <w:rFonts w:eastAsiaTheme="minorEastAsia"/>
          <w:kern w:val="0"/>
          <w:lang w:eastAsia="en-US"/>
        </w:rPr>
        <w:t xml:space="preserve"> </w:t>
      </w:r>
      <w:r w:rsidRPr="00AF7C6B">
        <w:rPr>
          <w:rFonts w:eastAsiaTheme="minorEastAsia"/>
          <w:i/>
          <w:iCs/>
          <w:kern w:val="0"/>
          <w:lang w:eastAsia="en-US"/>
        </w:rPr>
        <w:t>J. Res. Interact. Mark</w:t>
      </w:r>
      <w:r w:rsidRPr="00982B22">
        <w:rPr>
          <w:rFonts w:eastAsiaTheme="minorEastAsia"/>
          <w:kern w:val="0"/>
          <w:lang w:eastAsia="en-US"/>
        </w:rPr>
        <w:t>., vol. 11, no. 3, pp. 312–335, 2017.</w:t>
      </w:r>
    </w:p>
    <w:p w14:paraId="4A14665D" w14:textId="2BC8FB40"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E. Prochazkova and M. E. Kret, </w:t>
      </w:r>
      <w:r w:rsidR="00577CA9" w:rsidRPr="00982B22">
        <w:rPr>
          <w:rFonts w:eastAsiaTheme="minorEastAsia"/>
          <w:kern w:val="0"/>
          <w:lang w:eastAsia="en-US"/>
        </w:rPr>
        <w:t>"</w:t>
      </w:r>
      <w:r w:rsidRPr="00982B22">
        <w:rPr>
          <w:rFonts w:eastAsiaTheme="minorEastAsia"/>
          <w:kern w:val="0"/>
          <w:lang w:eastAsia="en-US"/>
        </w:rPr>
        <w:t>Connecting minds and sharing emotions through mimicry: A neurocognitive model of emotional contagion,</w:t>
      </w:r>
      <w:r w:rsidR="00577CA9" w:rsidRPr="00982B22">
        <w:rPr>
          <w:rFonts w:eastAsiaTheme="minorEastAsia"/>
          <w:kern w:val="0"/>
          <w:lang w:eastAsia="en-US"/>
        </w:rPr>
        <w:t>"</w:t>
      </w:r>
      <w:r w:rsidRPr="00982B22">
        <w:rPr>
          <w:rFonts w:eastAsiaTheme="minorEastAsia"/>
          <w:kern w:val="0"/>
          <w:lang w:eastAsia="en-US"/>
        </w:rPr>
        <w:t xml:space="preserve"> </w:t>
      </w:r>
      <w:r w:rsidRPr="00AF7C6B">
        <w:rPr>
          <w:rFonts w:eastAsiaTheme="minorEastAsia"/>
          <w:i/>
          <w:iCs/>
          <w:kern w:val="0"/>
          <w:lang w:eastAsia="en-US"/>
        </w:rPr>
        <w:t>Neurosci. Biobehav</w:t>
      </w:r>
      <w:r w:rsidRPr="00982B22">
        <w:rPr>
          <w:rFonts w:eastAsiaTheme="minorEastAsia"/>
          <w:kern w:val="0"/>
          <w:lang w:eastAsia="en-US"/>
        </w:rPr>
        <w:t>. Rev., vol. 80, pp. 99–114, 2017.</w:t>
      </w:r>
    </w:p>
    <w:p w14:paraId="0BA7D65B" w14:textId="661B87E2"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T. Matsui and S. Yamada, </w:t>
      </w:r>
      <w:r w:rsidR="00577CA9" w:rsidRPr="00982B22">
        <w:rPr>
          <w:rFonts w:eastAsiaTheme="minorEastAsia"/>
          <w:kern w:val="0"/>
          <w:lang w:eastAsia="en-US"/>
        </w:rPr>
        <w:t>"</w:t>
      </w:r>
      <w:r w:rsidRPr="00982B22">
        <w:rPr>
          <w:rFonts w:eastAsiaTheme="minorEastAsia"/>
          <w:kern w:val="0"/>
          <w:lang w:eastAsia="en-US"/>
        </w:rPr>
        <w:t>Designing trustworthy product recommendation virtual agents operating positive emotion and having copious amount of knowledge,</w:t>
      </w:r>
      <w:r w:rsidR="00577CA9" w:rsidRPr="00982B22">
        <w:rPr>
          <w:rFonts w:eastAsiaTheme="minorEastAsia"/>
          <w:kern w:val="0"/>
          <w:lang w:eastAsia="en-US"/>
        </w:rPr>
        <w:t>"</w:t>
      </w:r>
      <w:r w:rsidRPr="00982B22">
        <w:rPr>
          <w:rFonts w:eastAsiaTheme="minorEastAsia"/>
          <w:kern w:val="0"/>
          <w:lang w:eastAsia="en-US"/>
        </w:rPr>
        <w:t xml:space="preserve"> </w:t>
      </w:r>
      <w:r w:rsidRPr="00AF7C6B">
        <w:rPr>
          <w:rFonts w:eastAsiaTheme="minorEastAsia"/>
          <w:i/>
          <w:iCs/>
          <w:kern w:val="0"/>
          <w:lang w:eastAsia="en-US"/>
        </w:rPr>
        <w:t>Front. Psychol.</w:t>
      </w:r>
      <w:r w:rsidRPr="00982B22">
        <w:rPr>
          <w:rFonts w:eastAsiaTheme="minorEastAsia"/>
          <w:kern w:val="0"/>
          <w:lang w:eastAsia="en-US"/>
        </w:rPr>
        <w:t>, vol. 10, p. 675, 2019.</w:t>
      </w:r>
    </w:p>
    <w:p w14:paraId="40D708FF" w14:textId="57ACF7A9"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bookmarkStart w:id="1" w:name="_Hlk90494139"/>
      <w:r w:rsidRPr="00B34A62">
        <w:rPr>
          <w:rFonts w:eastAsiaTheme="minorEastAsia"/>
          <w:kern w:val="0"/>
          <w:lang w:eastAsia="en-US"/>
        </w:rPr>
        <w:t>C</w:t>
      </w:r>
      <w:r w:rsidRPr="00982B22">
        <w:rPr>
          <w:rFonts w:eastAsiaTheme="minorEastAsia"/>
          <w:kern w:val="0"/>
          <w:lang w:eastAsia="en-US"/>
        </w:rPr>
        <w:t xml:space="preserve">. Herrando, J. M. Jiménez, E. Constantinides, J.-W. van ’t Klooster, and P. J. H. Slijkhuis, “Emotional contagion in social commerce: A neuromarketing experiment,” in XXXI Congreso de Marketing, </w:t>
      </w:r>
      <w:r w:rsidR="00AF7C6B" w:rsidRPr="00AF7C6B">
        <w:rPr>
          <w:rFonts w:eastAsiaTheme="minorEastAsia"/>
          <w:kern w:val="0"/>
          <w:lang w:eastAsia="en-US"/>
        </w:rPr>
        <w:t>Cáceres</w:t>
      </w:r>
      <w:r w:rsidR="00AF7C6B">
        <w:rPr>
          <w:rFonts w:eastAsiaTheme="minorEastAsia"/>
          <w:kern w:val="0"/>
          <w:lang w:eastAsia="en-US"/>
        </w:rPr>
        <w:t>, Spain</w:t>
      </w:r>
      <w:r w:rsidRPr="00982B22">
        <w:rPr>
          <w:rFonts w:eastAsiaTheme="minorEastAsia"/>
          <w:kern w:val="0"/>
          <w:lang w:eastAsia="en-US"/>
        </w:rPr>
        <w:t>, 2019</w:t>
      </w:r>
      <w:bookmarkEnd w:id="1"/>
      <w:r w:rsidR="00B34A62">
        <w:rPr>
          <w:rFonts w:eastAsiaTheme="minorEastAsia"/>
          <w:kern w:val="0"/>
          <w:lang w:eastAsia="en-US"/>
        </w:rPr>
        <w:t>.</w:t>
      </w:r>
    </w:p>
    <w:p w14:paraId="1480F15C" w14:textId="02AEE0E9"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L. D. Hollebeek and T. Chen, </w:t>
      </w:r>
      <w:r w:rsidR="00577CA9" w:rsidRPr="00982B22">
        <w:rPr>
          <w:rFonts w:eastAsiaTheme="minorEastAsia"/>
          <w:kern w:val="0"/>
          <w:lang w:eastAsia="en-US"/>
        </w:rPr>
        <w:t>"</w:t>
      </w:r>
      <w:r w:rsidRPr="00982B22">
        <w:rPr>
          <w:rFonts w:eastAsiaTheme="minorEastAsia"/>
          <w:kern w:val="0"/>
          <w:lang w:eastAsia="en-US"/>
        </w:rPr>
        <w:t>Exploring positively- versus negatively-valenced brand engagement: a conceptual model,</w:t>
      </w:r>
      <w:r w:rsidR="00577CA9" w:rsidRPr="00982B22">
        <w:rPr>
          <w:rFonts w:eastAsiaTheme="minorEastAsia"/>
          <w:kern w:val="0"/>
          <w:lang w:eastAsia="en-US"/>
        </w:rPr>
        <w:t>"</w:t>
      </w:r>
      <w:r w:rsidRPr="00982B22">
        <w:rPr>
          <w:rFonts w:eastAsiaTheme="minorEastAsia"/>
          <w:kern w:val="0"/>
          <w:lang w:eastAsia="en-US"/>
        </w:rPr>
        <w:t xml:space="preserve"> </w:t>
      </w:r>
      <w:r w:rsidRPr="00AF7C6B">
        <w:rPr>
          <w:rFonts w:eastAsiaTheme="minorEastAsia"/>
          <w:i/>
          <w:iCs/>
          <w:kern w:val="0"/>
          <w:lang w:eastAsia="en-US"/>
        </w:rPr>
        <w:t>J. prod. brand manag</w:t>
      </w:r>
      <w:r w:rsidRPr="00982B22">
        <w:rPr>
          <w:rFonts w:eastAsiaTheme="minorEastAsia"/>
          <w:kern w:val="0"/>
          <w:lang w:eastAsia="en-US"/>
        </w:rPr>
        <w:t>., vol. 23, no. 1, pp. 62–74, 2014.</w:t>
      </w:r>
    </w:p>
    <w:p w14:paraId="31B81E48" w14:textId="111B48ED"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P. Harrigan, U. Evers, M. Miles, and T. Daly, </w:t>
      </w:r>
      <w:r w:rsidR="00577CA9" w:rsidRPr="00982B22">
        <w:rPr>
          <w:rFonts w:eastAsiaTheme="minorEastAsia"/>
          <w:kern w:val="0"/>
          <w:lang w:eastAsia="en-US"/>
        </w:rPr>
        <w:t>"</w:t>
      </w:r>
      <w:r w:rsidRPr="00982B22">
        <w:rPr>
          <w:rFonts w:eastAsiaTheme="minorEastAsia"/>
          <w:kern w:val="0"/>
          <w:lang w:eastAsia="en-US"/>
        </w:rPr>
        <w:t xml:space="preserve">Customer engagement with </w:t>
      </w:r>
      <w:r w:rsidRPr="00982B22">
        <w:rPr>
          <w:rFonts w:eastAsiaTheme="minorEastAsia"/>
          <w:kern w:val="0"/>
          <w:lang w:eastAsia="en-US"/>
        </w:rPr>
        <w:lastRenderedPageBreak/>
        <w:t>tourism social media brands,</w:t>
      </w:r>
      <w:r w:rsidR="00577CA9" w:rsidRPr="00982B22">
        <w:rPr>
          <w:rFonts w:eastAsiaTheme="minorEastAsia"/>
          <w:kern w:val="0"/>
          <w:lang w:eastAsia="en-US"/>
        </w:rPr>
        <w:t>"</w:t>
      </w:r>
      <w:r w:rsidRPr="00982B22">
        <w:rPr>
          <w:rFonts w:eastAsiaTheme="minorEastAsia"/>
          <w:kern w:val="0"/>
          <w:lang w:eastAsia="en-US"/>
        </w:rPr>
        <w:t xml:space="preserve"> </w:t>
      </w:r>
      <w:r w:rsidRPr="00AF7C6B">
        <w:rPr>
          <w:rFonts w:eastAsiaTheme="minorEastAsia"/>
          <w:i/>
          <w:iCs/>
          <w:kern w:val="0"/>
          <w:lang w:eastAsia="en-US"/>
        </w:rPr>
        <w:t>Tour. Manag</w:t>
      </w:r>
      <w:r w:rsidRPr="00982B22">
        <w:rPr>
          <w:rFonts w:eastAsiaTheme="minorEastAsia"/>
          <w:kern w:val="0"/>
          <w:lang w:eastAsia="en-US"/>
        </w:rPr>
        <w:t>., vol. 59, pp. 597–609, 2017.</w:t>
      </w:r>
    </w:p>
    <w:p w14:paraId="7F6E6B0C" w14:textId="71415B18"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R. VanMeter, H. A. Syrdal, S. Powell-Mantel, D. B. Grisaffe, and E. T. Nesson, </w:t>
      </w:r>
      <w:r w:rsidR="00577CA9" w:rsidRPr="00982B22">
        <w:rPr>
          <w:rFonts w:eastAsiaTheme="minorEastAsia"/>
          <w:kern w:val="0"/>
          <w:lang w:eastAsia="en-US"/>
        </w:rPr>
        <w:t>"</w:t>
      </w:r>
      <w:r w:rsidRPr="00982B22">
        <w:rPr>
          <w:rFonts w:eastAsiaTheme="minorEastAsia"/>
          <w:kern w:val="0"/>
          <w:lang w:eastAsia="en-US"/>
        </w:rPr>
        <w:t xml:space="preserve">Don’t just ‘like’ me, promote me: How attachment and attitude influence brand related behaviors on social media,” </w:t>
      </w:r>
      <w:r w:rsidRPr="00AF7C6B">
        <w:rPr>
          <w:rFonts w:eastAsiaTheme="minorEastAsia"/>
          <w:i/>
          <w:iCs/>
          <w:kern w:val="0"/>
          <w:lang w:eastAsia="en-US"/>
        </w:rPr>
        <w:t>J. Interact. Mark</w:t>
      </w:r>
      <w:r w:rsidRPr="00982B22">
        <w:rPr>
          <w:rFonts w:eastAsiaTheme="minorEastAsia"/>
          <w:kern w:val="0"/>
          <w:lang w:eastAsia="en-US"/>
        </w:rPr>
        <w:t>., vol. 43, pp. 83–97, 2018.</w:t>
      </w:r>
    </w:p>
    <w:p w14:paraId="4A0DA2B8" w14:textId="77777777"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S. Kumar, T. Roshni, and D. Himayoun, “A comparison of Emotional Neural Network (ENN) and Artificial Neural Network (ANN) approach for rainfall-runoff modelling,” </w:t>
      </w:r>
      <w:r w:rsidRPr="00AF7C6B">
        <w:rPr>
          <w:rFonts w:eastAsiaTheme="minorEastAsia"/>
          <w:i/>
          <w:iCs/>
          <w:kern w:val="0"/>
          <w:lang w:eastAsia="en-US"/>
        </w:rPr>
        <w:t>Civ. Eng. J</w:t>
      </w:r>
      <w:r w:rsidRPr="00982B22">
        <w:rPr>
          <w:rFonts w:eastAsiaTheme="minorEastAsia"/>
          <w:kern w:val="0"/>
          <w:lang w:eastAsia="en-US"/>
        </w:rPr>
        <w:t>., vol. 5, no. 10, pp. 2120–2130, 2019.</w:t>
      </w:r>
    </w:p>
    <w:p w14:paraId="08285453" w14:textId="77777777"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K. Hill Cummings and J. A. Yule, “Tailoring service recovery messages to consumers’ affective states,” </w:t>
      </w:r>
      <w:r w:rsidRPr="00AF7C6B">
        <w:rPr>
          <w:rFonts w:eastAsiaTheme="minorEastAsia"/>
          <w:i/>
          <w:iCs/>
          <w:kern w:val="0"/>
          <w:lang w:eastAsia="en-US"/>
        </w:rPr>
        <w:t>Eur. J. Mark</w:t>
      </w:r>
      <w:r w:rsidRPr="00982B22">
        <w:rPr>
          <w:rFonts w:eastAsiaTheme="minorEastAsia"/>
          <w:kern w:val="0"/>
          <w:lang w:eastAsia="en-US"/>
        </w:rPr>
        <w:t>., vol. 54, no. 7, pp. 1675–1702, 2020.</w:t>
      </w:r>
    </w:p>
    <w:p w14:paraId="0E37A1B6" w14:textId="77777777"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Z. Sheikh, L. Yezheng, T. Islam, Z. Hameed, and I. U. Khan, “Impact of social commerce constructs and social support on social commerce intentions,” </w:t>
      </w:r>
      <w:r w:rsidRPr="00AF7C6B">
        <w:rPr>
          <w:rFonts w:eastAsiaTheme="minorEastAsia"/>
          <w:i/>
          <w:iCs/>
          <w:kern w:val="0"/>
          <w:lang w:eastAsia="en-US"/>
        </w:rPr>
        <w:t>Inf. technol. people</w:t>
      </w:r>
      <w:r w:rsidRPr="00982B22">
        <w:rPr>
          <w:rFonts w:eastAsiaTheme="minorEastAsia"/>
          <w:kern w:val="0"/>
          <w:lang w:eastAsia="en-US"/>
        </w:rPr>
        <w:t>, vol. 32, no. 1, pp. 68–93, 2019.</w:t>
      </w:r>
    </w:p>
    <w:p w14:paraId="07438761" w14:textId="77777777"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J. Chen and X.-L. Shen, “Consumers’ decisions in social commerce context: An empirical investigation,” </w:t>
      </w:r>
      <w:r w:rsidRPr="00AF7C6B">
        <w:rPr>
          <w:rFonts w:eastAsiaTheme="minorEastAsia"/>
          <w:i/>
          <w:iCs/>
          <w:kern w:val="0"/>
          <w:lang w:eastAsia="en-US"/>
        </w:rPr>
        <w:t>Decis. Support Syst</w:t>
      </w:r>
      <w:r w:rsidRPr="00982B22">
        <w:rPr>
          <w:rFonts w:eastAsiaTheme="minorEastAsia"/>
          <w:kern w:val="0"/>
          <w:lang w:eastAsia="en-US"/>
        </w:rPr>
        <w:t>., vol. 79, pp. 55–64, 2015.</w:t>
      </w:r>
    </w:p>
    <w:p w14:paraId="44AD59EC" w14:textId="77777777"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bookmarkStart w:id="2" w:name="_Hlk90493817"/>
      <w:r w:rsidRPr="00982B22">
        <w:rPr>
          <w:rFonts w:eastAsiaTheme="minorEastAsia"/>
          <w:kern w:val="0"/>
          <w:lang w:eastAsia="en-US"/>
        </w:rPr>
        <w:t xml:space="preserve">I. B. Yahia, N. Al-Neama, and L. Kerbache, “Investigating the drivers for social commerce in social media platforms: Importance of trust, social support and the platform perceived usage,” </w:t>
      </w:r>
      <w:r w:rsidRPr="00AF7C6B">
        <w:rPr>
          <w:rFonts w:eastAsiaTheme="minorEastAsia"/>
          <w:i/>
          <w:iCs/>
          <w:kern w:val="0"/>
          <w:lang w:eastAsia="en-US"/>
        </w:rPr>
        <w:t>J. Retail. Consum. Serv</w:t>
      </w:r>
      <w:r w:rsidRPr="00982B22">
        <w:rPr>
          <w:rFonts w:eastAsiaTheme="minorEastAsia"/>
          <w:kern w:val="0"/>
          <w:lang w:eastAsia="en-US"/>
        </w:rPr>
        <w:t>., vol. 41, pp. 11–19, 2018.</w:t>
      </w:r>
      <w:bookmarkEnd w:id="2"/>
    </w:p>
    <w:p w14:paraId="495F89BA" w14:textId="77777777"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A. H. Busalim, F. Ghabban, and A. R. C. Hussin, “Customer engagement behaviour on social commerce platforms: An empirical study,” </w:t>
      </w:r>
      <w:r w:rsidRPr="00AF7C6B">
        <w:rPr>
          <w:rFonts w:eastAsiaTheme="minorEastAsia"/>
          <w:i/>
          <w:iCs/>
          <w:kern w:val="0"/>
          <w:lang w:eastAsia="en-US"/>
        </w:rPr>
        <w:t>Technol. Soc.</w:t>
      </w:r>
      <w:r w:rsidRPr="00982B22">
        <w:rPr>
          <w:rFonts w:eastAsiaTheme="minorEastAsia"/>
          <w:kern w:val="0"/>
          <w:lang w:eastAsia="en-US"/>
        </w:rPr>
        <w:t>, vol. 64, no. 101437, p. 101437, 2021.</w:t>
      </w:r>
    </w:p>
    <w:p w14:paraId="713379FC" w14:textId="77777777"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S. Holtzman, D. DeClerck, K. Turcotte, D. Lisi, and M. Woodworth, “Emotional support during times of stress: Can text messaging compete with in-person interactions?,” </w:t>
      </w:r>
      <w:r w:rsidRPr="00AF7C6B">
        <w:rPr>
          <w:rFonts w:eastAsiaTheme="minorEastAsia"/>
          <w:i/>
          <w:iCs/>
          <w:kern w:val="0"/>
          <w:lang w:eastAsia="en-US"/>
        </w:rPr>
        <w:t>Comput. Human Behav</w:t>
      </w:r>
      <w:r w:rsidRPr="00982B22">
        <w:rPr>
          <w:rFonts w:eastAsiaTheme="minorEastAsia"/>
          <w:kern w:val="0"/>
          <w:lang w:eastAsia="en-US"/>
        </w:rPr>
        <w:t>., vol. 71, pp. 130–139, 2017.</w:t>
      </w:r>
    </w:p>
    <w:p w14:paraId="5EDBBB72" w14:textId="77777777"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G. Lăzăroiu, O. Neguriţă, I. Grecu, G. Grecu, and P. C. Mitran, “Consumers’ decision-making process on social commerce platforms: Online trust, perceived risk, and purchase intentions,” </w:t>
      </w:r>
      <w:r w:rsidRPr="00AF7C6B">
        <w:rPr>
          <w:rFonts w:eastAsiaTheme="minorEastAsia"/>
          <w:i/>
          <w:iCs/>
          <w:kern w:val="0"/>
          <w:lang w:eastAsia="en-US"/>
        </w:rPr>
        <w:t>Front. Psychol</w:t>
      </w:r>
      <w:r w:rsidRPr="00982B22">
        <w:rPr>
          <w:rFonts w:eastAsiaTheme="minorEastAsia"/>
          <w:kern w:val="0"/>
          <w:lang w:eastAsia="en-US"/>
        </w:rPr>
        <w:t>., vol. 11, p. 890, 2020.</w:t>
      </w:r>
    </w:p>
    <w:p w14:paraId="2EB2EAD8" w14:textId="77777777"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bookmarkStart w:id="3" w:name="_Hlk90490776"/>
      <w:r w:rsidRPr="00982B22">
        <w:rPr>
          <w:rFonts w:eastAsiaTheme="minorEastAsia"/>
          <w:kern w:val="0"/>
          <w:lang w:eastAsia="en-US"/>
        </w:rPr>
        <w:t>L. Taruffi, C. Pehrs, S. Skouras, and S. Koelsch, “Effects of sad and happy music on mind-wandering and the Default Mode Network,”</w:t>
      </w:r>
      <w:r w:rsidRPr="00AF7C6B">
        <w:rPr>
          <w:rFonts w:eastAsiaTheme="minorEastAsia"/>
          <w:i/>
          <w:iCs/>
          <w:kern w:val="0"/>
          <w:lang w:eastAsia="en-US"/>
        </w:rPr>
        <w:t xml:space="preserve"> Sci. Rep</w:t>
      </w:r>
      <w:r w:rsidRPr="00982B22">
        <w:rPr>
          <w:rFonts w:eastAsiaTheme="minorEastAsia"/>
          <w:kern w:val="0"/>
          <w:lang w:eastAsia="en-US"/>
        </w:rPr>
        <w:t>., vol. 7, no. 1, p. 14396, 2017.</w:t>
      </w:r>
      <w:bookmarkEnd w:id="3"/>
    </w:p>
    <w:p w14:paraId="20E81F90" w14:textId="77777777" w:rsidR="004C6C4D" w:rsidRPr="00982B22" w:rsidRDefault="004C6C4D" w:rsidP="00982B22">
      <w:pPr>
        <w:numPr>
          <w:ilvl w:val="0"/>
          <w:numId w:val="8"/>
        </w:numPr>
        <w:autoSpaceDE w:val="0"/>
        <w:autoSpaceDN w:val="0"/>
        <w:adjustRightInd w:val="0"/>
        <w:snapToGrid w:val="0"/>
        <w:spacing w:after="160" w:line="276" w:lineRule="auto"/>
        <w:ind w:left="640" w:hanging="640"/>
        <w:jc w:val="both"/>
        <w:rPr>
          <w:rFonts w:eastAsiaTheme="minorEastAsia"/>
          <w:kern w:val="0"/>
          <w:lang w:eastAsia="en-US"/>
        </w:rPr>
      </w:pPr>
      <w:r w:rsidRPr="00982B22">
        <w:rPr>
          <w:rFonts w:eastAsiaTheme="minorEastAsia"/>
          <w:kern w:val="0"/>
          <w:lang w:eastAsia="en-US"/>
        </w:rPr>
        <w:t xml:space="preserve">M. B. Küssner and T. Eerola, “The content and functions of vivid and soothing visual imagery during music listening: Findings from a survey study,” </w:t>
      </w:r>
      <w:r w:rsidRPr="00AF7C6B">
        <w:rPr>
          <w:rFonts w:eastAsiaTheme="minorEastAsia"/>
          <w:i/>
          <w:iCs/>
          <w:kern w:val="0"/>
          <w:lang w:eastAsia="en-US"/>
        </w:rPr>
        <w:t>Psychomusicology</w:t>
      </w:r>
      <w:r w:rsidRPr="00982B22">
        <w:rPr>
          <w:rFonts w:eastAsiaTheme="minorEastAsia"/>
          <w:kern w:val="0"/>
          <w:lang w:eastAsia="en-US"/>
        </w:rPr>
        <w:t>, vol. 29, no. 2–3, pp. 90–99, 2019.</w:t>
      </w:r>
    </w:p>
    <w:p w14:paraId="0292D529" w14:textId="040F888B" w:rsidR="00B26CD1" w:rsidRPr="00402558" w:rsidRDefault="00B26CD1" w:rsidP="00505BE8">
      <w:pPr>
        <w:autoSpaceDE w:val="0"/>
        <w:autoSpaceDN w:val="0"/>
        <w:adjustRightInd w:val="0"/>
        <w:snapToGrid w:val="0"/>
        <w:spacing w:line="276" w:lineRule="auto"/>
        <w:ind w:left="480" w:hangingChars="200" w:hanging="480"/>
        <w:jc w:val="both"/>
        <w:rPr>
          <w:shd w:val="clear" w:color="auto" w:fill="FFFFFF"/>
        </w:rPr>
      </w:pPr>
    </w:p>
    <w:sectPr w:rsidR="00B26CD1" w:rsidRPr="00402558" w:rsidSect="009B3702">
      <w:headerReference w:type="even" r:id="rId13"/>
      <w:headerReference w:type="default" r:id="rId14"/>
      <w:footerReference w:type="even" r:id="rId15"/>
      <w:footerReference w:type="default" r:id="rId16"/>
      <w:headerReference w:type="first" r:id="rId17"/>
      <w:footerReference w:type="first" r:id="rId18"/>
      <w:pgSz w:w="11906" w:h="16838" w:code="9"/>
      <w:pgMar w:top="1440" w:right="1800" w:bottom="1440" w:left="1800" w:header="567" w:footer="567" w:gutter="0"/>
      <w:pgNumType w:start="39"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460B3" w14:textId="77777777" w:rsidR="00F32939" w:rsidRDefault="00F32939">
      <w:r>
        <w:separator/>
      </w:r>
    </w:p>
  </w:endnote>
  <w:endnote w:type="continuationSeparator" w:id="0">
    <w:p w14:paraId="619C080C" w14:textId="77777777" w:rsidR="00F32939" w:rsidRDefault="00F32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altName w:val="jf open 粉圓 1.0"/>
    <w:panose1 w:val="020B0604020202020204"/>
    <w:charset w:val="88"/>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altName w:val="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9745E" w14:textId="77777777" w:rsidR="009B3702" w:rsidRDefault="009B370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E6BF5" w14:textId="77777777" w:rsidR="009B3702" w:rsidRDefault="009B370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F6A5F" w14:textId="77777777" w:rsidR="009B3702" w:rsidRDefault="009B370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5EFF4" w14:textId="77777777" w:rsidR="00F32939" w:rsidRDefault="00F32939">
      <w:r>
        <w:separator/>
      </w:r>
    </w:p>
  </w:footnote>
  <w:footnote w:type="continuationSeparator" w:id="0">
    <w:p w14:paraId="0E8A58CE" w14:textId="77777777" w:rsidR="00F32939" w:rsidRDefault="00F32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6575E" w14:textId="49A0CB8C" w:rsidR="00C35559" w:rsidRPr="005E3915" w:rsidRDefault="00C35559" w:rsidP="005E3915">
    <w:pPr>
      <w:pStyle w:val="a9"/>
      <w:rPr>
        <w:szCs w:val="18"/>
      </w:rPr>
    </w:pPr>
    <w:r>
      <w:rPr>
        <w:rStyle w:val="ab"/>
      </w:rPr>
      <w:fldChar w:fldCharType="begin"/>
    </w:r>
    <w:r>
      <w:rPr>
        <w:rStyle w:val="ab"/>
      </w:rPr>
      <w:instrText xml:space="preserve"> PAGE </w:instrText>
    </w:r>
    <w:r>
      <w:rPr>
        <w:rStyle w:val="ab"/>
      </w:rPr>
      <w:fldChar w:fldCharType="separate"/>
    </w:r>
    <w:r w:rsidR="00EF3062">
      <w:rPr>
        <w:rStyle w:val="ab"/>
        <w:noProof/>
      </w:rPr>
      <w:t>64</w:t>
    </w:r>
    <w:r>
      <w:rPr>
        <w:rStyle w:val="ab"/>
      </w:rPr>
      <w:fldChar w:fldCharType="end"/>
    </w:r>
    <w:r>
      <w:rPr>
        <w:rStyle w:val="ab"/>
        <w:rFonts w:hint="eastAsia"/>
      </w:rPr>
      <w:t xml:space="preserve">           </w:t>
    </w:r>
    <w:r>
      <w:rPr>
        <w:rStyle w:val="ab"/>
        <w:rFonts w:hint="eastAsia"/>
      </w:rPr>
      <w:tab/>
      <w:t xml:space="preserve">         </w:t>
    </w:r>
    <w:r w:rsidR="005E3915">
      <w:rPr>
        <w:rStyle w:val="ab"/>
        <w:rFonts w:hint="eastAsia"/>
      </w:rPr>
      <w:t xml:space="preserve">               </w:t>
    </w:r>
    <w:r>
      <w:rPr>
        <w:rStyle w:val="ab"/>
        <w:rFonts w:hint="eastAsia"/>
      </w:rPr>
      <w:t xml:space="preserve"> </w:t>
    </w:r>
    <w:r w:rsidR="005E3915">
      <w:rPr>
        <w:rStyle w:val="ab"/>
        <w:rFonts w:cs="Angsana New" w:hint="cs"/>
        <w:cs/>
        <w:lang w:bidi="th-TH"/>
      </w:rPr>
      <w:t xml:space="preserve">  </w:t>
    </w:r>
    <w:r w:rsidR="005E3915" w:rsidRPr="00ED2A49">
      <w:rPr>
        <w:rFonts w:hint="eastAsia"/>
        <w:i/>
        <w:iCs/>
        <w:szCs w:val="18"/>
      </w:rPr>
      <w:t>International Journal of Electronic Commerce Studies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215C0" w14:textId="5352148E" w:rsidR="00C35559" w:rsidRPr="00676C05" w:rsidRDefault="00F336DF" w:rsidP="00583874">
    <w:pPr>
      <w:tabs>
        <w:tab w:val="center" w:pos="4153"/>
        <w:tab w:val="center" w:pos="4819"/>
        <w:tab w:val="left" w:pos="8222"/>
        <w:tab w:val="right" w:pos="8306"/>
        <w:tab w:val="right" w:pos="9638"/>
      </w:tabs>
      <w:snapToGrid w:val="0"/>
      <w:ind w:rightChars="35" w:right="84"/>
      <w:jc w:val="right"/>
      <w:rPr>
        <w:i/>
        <w:sz w:val="20"/>
        <w:szCs w:val="20"/>
        <w:lang w:val="it-IT"/>
      </w:rPr>
    </w:pPr>
    <w:r w:rsidRPr="00676C05">
      <w:rPr>
        <w:i/>
        <w:sz w:val="20"/>
        <w:szCs w:val="20"/>
        <w:lang w:val="it-IT" w:eastAsia="ja-JP"/>
      </w:rPr>
      <w:t>Vasudevan Moorthy</w:t>
    </w:r>
    <w:r w:rsidR="00676C05" w:rsidRPr="00676C05">
      <w:rPr>
        <w:rFonts w:hint="eastAsia"/>
        <w:i/>
        <w:sz w:val="20"/>
        <w:szCs w:val="20"/>
        <w:lang w:val="it-IT"/>
      </w:rPr>
      <w:t>,</w:t>
    </w:r>
    <w:r w:rsidR="00676C05" w:rsidRPr="00676C05">
      <w:rPr>
        <w:i/>
      </w:rPr>
      <w:t xml:space="preserve"> </w:t>
    </w:r>
    <w:r w:rsidR="00676C05" w:rsidRPr="00676C05">
      <w:rPr>
        <w:i/>
        <w:sz w:val="20"/>
        <w:szCs w:val="20"/>
        <w:lang w:val="it-IT"/>
      </w:rPr>
      <w:t>Prabha Kiran, Jayanta Banerjee and Krishna Kishore S V</w:t>
    </w:r>
    <w:r w:rsidR="0082719A">
      <w:rPr>
        <w:i/>
        <w:sz w:val="20"/>
        <w:szCs w:val="20"/>
        <w:lang w:val="it-IT"/>
      </w:rPr>
      <w:t xml:space="preserve">  </w:t>
    </w:r>
    <w:r w:rsidR="00676C05" w:rsidRPr="00676C05">
      <w:rPr>
        <w:i/>
        <w:sz w:val="20"/>
        <w:szCs w:val="20"/>
        <w:lang w:val="it-IT"/>
      </w:rPr>
      <w:t xml:space="preserve"> </w:t>
    </w:r>
    <w:r w:rsidR="00583874" w:rsidRPr="005371ED">
      <w:rPr>
        <w:iCs/>
        <w:sz w:val="20"/>
        <w:szCs w:val="20"/>
        <w:lang w:val="it-IT" w:eastAsia="ja-JP"/>
      </w:rPr>
      <w:fldChar w:fldCharType="begin"/>
    </w:r>
    <w:r w:rsidR="00583874" w:rsidRPr="005371ED">
      <w:rPr>
        <w:iCs/>
        <w:sz w:val="20"/>
        <w:szCs w:val="20"/>
        <w:lang w:val="it-IT" w:eastAsia="ja-JP"/>
      </w:rPr>
      <w:instrText>PAGE   \* MERGEFORMAT</w:instrText>
    </w:r>
    <w:r w:rsidR="00583874" w:rsidRPr="005371ED">
      <w:rPr>
        <w:iCs/>
        <w:sz w:val="20"/>
        <w:szCs w:val="20"/>
        <w:lang w:val="it-IT" w:eastAsia="ja-JP"/>
      </w:rPr>
      <w:fldChar w:fldCharType="separate"/>
    </w:r>
    <w:r w:rsidR="00EF3062" w:rsidRPr="005371ED">
      <w:rPr>
        <w:iCs/>
        <w:noProof/>
        <w:sz w:val="20"/>
        <w:szCs w:val="20"/>
        <w:lang w:eastAsia="ja-JP"/>
      </w:rPr>
      <w:t>63</w:t>
    </w:r>
    <w:r w:rsidR="00583874" w:rsidRPr="005371ED">
      <w:rPr>
        <w:iCs/>
        <w:sz w:val="20"/>
        <w:szCs w:val="20"/>
        <w:lang w:val="it-IT" w:eastAsia="ja-JP"/>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D43DF8" w:rsidRPr="009B3702" w14:paraId="51F22A5A" w14:textId="77777777" w:rsidTr="004537E9">
      <w:trPr>
        <w:jc w:val="right"/>
      </w:trPr>
      <w:tc>
        <w:tcPr>
          <w:tcW w:w="4139" w:type="dxa"/>
          <w:vAlign w:val="center"/>
        </w:tcPr>
        <w:p w14:paraId="480F6772" w14:textId="77777777" w:rsidR="00D43DF8" w:rsidRPr="009B3702" w:rsidRDefault="00D43DF8" w:rsidP="00D43DF8">
          <w:pPr>
            <w:suppressAutoHyphens/>
            <w:autoSpaceDE w:val="0"/>
            <w:autoSpaceDN w:val="0"/>
            <w:adjustRightInd w:val="0"/>
            <w:spacing w:line="0" w:lineRule="atLeast"/>
            <w:rPr>
              <w:sz w:val="18"/>
              <w:szCs w:val="18"/>
              <w:lang w:eastAsia="ar-SA"/>
            </w:rPr>
          </w:pPr>
          <w:r w:rsidRPr="009B3702">
            <w:rPr>
              <w:sz w:val="18"/>
              <w:szCs w:val="18"/>
              <w:lang w:eastAsia="ar-SA"/>
            </w:rPr>
            <w:t>International Journal of Electronic</w:t>
          </w:r>
          <w:r w:rsidRPr="009B3702">
            <w:rPr>
              <w:sz w:val="18"/>
              <w:szCs w:val="18"/>
              <w:cs/>
              <w:lang w:eastAsia="ar-SA" w:bidi="th-TH"/>
            </w:rPr>
            <w:t xml:space="preserve"> </w:t>
          </w:r>
          <w:r w:rsidRPr="009B3702">
            <w:rPr>
              <w:sz w:val="18"/>
              <w:szCs w:val="18"/>
              <w:lang w:eastAsia="ar-SA"/>
            </w:rPr>
            <w:t>Commerce Studies</w:t>
          </w:r>
        </w:p>
        <w:p w14:paraId="12006858" w14:textId="0689C027" w:rsidR="00D43DF8" w:rsidRPr="009B3702" w:rsidRDefault="00D43DF8" w:rsidP="00D43DF8">
          <w:pPr>
            <w:suppressAutoHyphens/>
            <w:autoSpaceDE w:val="0"/>
            <w:autoSpaceDN w:val="0"/>
            <w:adjustRightInd w:val="0"/>
            <w:spacing w:line="0" w:lineRule="atLeast"/>
            <w:rPr>
              <w:sz w:val="18"/>
              <w:szCs w:val="18"/>
            </w:rPr>
          </w:pPr>
          <w:r w:rsidRPr="009B3702">
            <w:rPr>
              <w:sz w:val="18"/>
              <w:szCs w:val="18"/>
              <w:lang w:eastAsia="ar-SA"/>
            </w:rPr>
            <w:t>Vol</w:t>
          </w:r>
          <w:r w:rsidRPr="009B3702">
            <w:rPr>
              <w:sz w:val="18"/>
              <w:szCs w:val="18"/>
              <w:cs/>
              <w:lang w:eastAsia="ar-SA" w:bidi="th-TH"/>
            </w:rPr>
            <w:t>.</w:t>
          </w:r>
          <w:r w:rsidR="009B3702" w:rsidRPr="009B3702">
            <w:rPr>
              <w:sz w:val="18"/>
              <w:szCs w:val="18"/>
              <w:cs/>
              <w:lang w:bidi="th-TH"/>
            </w:rPr>
            <w:t>13</w:t>
          </w:r>
          <w:r w:rsidRPr="009B3702">
            <w:rPr>
              <w:sz w:val="18"/>
              <w:szCs w:val="18"/>
              <w:lang w:eastAsia="ar-SA"/>
            </w:rPr>
            <w:t>, No</w:t>
          </w:r>
          <w:r w:rsidRPr="009B3702">
            <w:rPr>
              <w:sz w:val="18"/>
              <w:szCs w:val="18"/>
              <w:cs/>
              <w:lang w:eastAsia="ar-SA" w:bidi="th-TH"/>
            </w:rPr>
            <w:t>.</w:t>
          </w:r>
          <w:r w:rsidR="009B3702" w:rsidRPr="009B3702">
            <w:rPr>
              <w:sz w:val="18"/>
              <w:szCs w:val="18"/>
              <w:cs/>
              <w:lang w:bidi="th-TH"/>
            </w:rPr>
            <w:t>3</w:t>
          </w:r>
          <w:r w:rsidRPr="009B3702">
            <w:rPr>
              <w:sz w:val="18"/>
              <w:szCs w:val="18"/>
              <w:lang w:eastAsia="ar-SA"/>
            </w:rPr>
            <w:t>, pp</w:t>
          </w:r>
          <w:r w:rsidRPr="009B3702">
            <w:rPr>
              <w:sz w:val="18"/>
              <w:szCs w:val="18"/>
              <w:cs/>
              <w:lang w:eastAsia="ar-SA" w:bidi="th-TH"/>
            </w:rPr>
            <w:t>.</w:t>
          </w:r>
          <w:r w:rsidR="009B3702" w:rsidRPr="009B3702">
            <w:rPr>
              <w:sz w:val="18"/>
              <w:szCs w:val="18"/>
              <w:cs/>
              <w:lang w:bidi="th-TH"/>
            </w:rPr>
            <w:t>39</w:t>
          </w:r>
          <w:r w:rsidRPr="009B3702">
            <w:rPr>
              <w:sz w:val="18"/>
              <w:szCs w:val="18"/>
              <w:cs/>
              <w:lang w:eastAsia="ar-SA" w:bidi="th-TH"/>
            </w:rPr>
            <w:t>-</w:t>
          </w:r>
          <w:r w:rsidR="009B3702" w:rsidRPr="009B3702">
            <w:rPr>
              <w:sz w:val="18"/>
              <w:szCs w:val="18"/>
              <w:cs/>
              <w:lang w:bidi="th-TH"/>
            </w:rPr>
            <w:t>58</w:t>
          </w:r>
          <w:r w:rsidRPr="009B3702">
            <w:rPr>
              <w:sz w:val="18"/>
              <w:szCs w:val="18"/>
              <w:lang w:eastAsia="ar-SA"/>
            </w:rPr>
            <w:t>, 20</w:t>
          </w:r>
          <w:r w:rsidR="009B3702" w:rsidRPr="009B3702">
            <w:rPr>
              <w:sz w:val="18"/>
              <w:szCs w:val="18"/>
            </w:rPr>
            <w:t>22</w:t>
          </w:r>
        </w:p>
        <w:p w14:paraId="34AFA8F9" w14:textId="5CA5BF84" w:rsidR="00D43DF8" w:rsidRPr="009B3702" w:rsidRDefault="00D43DF8" w:rsidP="00D43DF8">
          <w:pPr>
            <w:suppressAutoHyphens/>
            <w:autoSpaceDE w:val="0"/>
            <w:autoSpaceDN w:val="0"/>
            <w:adjustRightInd w:val="0"/>
            <w:spacing w:line="0" w:lineRule="atLeast"/>
            <w:rPr>
              <w:sz w:val="18"/>
              <w:szCs w:val="16"/>
            </w:rPr>
          </w:pPr>
          <w:r w:rsidRPr="009B3702">
            <w:rPr>
              <w:sz w:val="18"/>
              <w:szCs w:val="18"/>
              <w:lang w:eastAsia="ar-SA"/>
            </w:rPr>
            <w:t>doi</w:t>
          </w:r>
          <w:r w:rsidRPr="009B3702">
            <w:rPr>
              <w:sz w:val="18"/>
              <w:szCs w:val="18"/>
              <w:cs/>
              <w:lang w:eastAsia="ar-SA" w:bidi="th-TH"/>
            </w:rPr>
            <w:t xml:space="preserve">: </w:t>
          </w:r>
          <w:r w:rsidRPr="009B3702">
            <w:rPr>
              <w:sz w:val="18"/>
              <w:szCs w:val="18"/>
              <w:lang w:eastAsia="ar-SA"/>
            </w:rPr>
            <w:t>10</w:t>
          </w:r>
          <w:r w:rsidRPr="009B3702">
            <w:rPr>
              <w:sz w:val="18"/>
              <w:szCs w:val="18"/>
              <w:cs/>
              <w:lang w:eastAsia="ar-SA" w:bidi="th-TH"/>
            </w:rPr>
            <w:t>.</w:t>
          </w:r>
          <w:r w:rsidRPr="009B3702">
            <w:rPr>
              <w:sz w:val="18"/>
              <w:szCs w:val="18"/>
              <w:lang w:eastAsia="ar-SA"/>
            </w:rPr>
            <w:t>7903</w:t>
          </w:r>
          <w:r w:rsidRPr="009B3702">
            <w:rPr>
              <w:sz w:val="18"/>
              <w:szCs w:val="18"/>
              <w:cs/>
              <w:lang w:eastAsia="ar-SA" w:bidi="th-TH"/>
            </w:rPr>
            <w:t>/</w:t>
          </w:r>
          <w:r w:rsidRPr="009B3702">
            <w:rPr>
              <w:sz w:val="18"/>
              <w:szCs w:val="18"/>
              <w:lang w:eastAsia="ar-SA"/>
            </w:rPr>
            <w:t>ijecs</w:t>
          </w:r>
          <w:r w:rsidRPr="009B3702">
            <w:rPr>
              <w:sz w:val="18"/>
              <w:szCs w:val="18"/>
              <w:cs/>
              <w:lang w:eastAsia="ar-SA" w:bidi="th-TH"/>
            </w:rPr>
            <w:t>.</w:t>
          </w:r>
          <w:r w:rsidR="009B3702">
            <w:rPr>
              <w:rFonts w:hint="eastAsia"/>
              <w:sz w:val="18"/>
              <w:szCs w:val="18"/>
              <w:cs/>
              <w:lang w:bidi="th-TH"/>
            </w:rPr>
            <w:t>2049</w:t>
          </w:r>
        </w:p>
      </w:tc>
    </w:tr>
  </w:tbl>
  <w:p w14:paraId="19580E24" w14:textId="474F30AA" w:rsidR="00CF49C8" w:rsidRPr="009B3702" w:rsidRDefault="00CF49C8" w:rsidP="00CF49C8">
    <w:pPr>
      <w:pStyle w:val="a9"/>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9766F"/>
    <w:multiLevelType w:val="hybridMultilevel"/>
    <w:tmpl w:val="80629F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1487C16"/>
    <w:multiLevelType w:val="hybridMultilevel"/>
    <w:tmpl w:val="03B6BAD8"/>
    <w:lvl w:ilvl="0" w:tplc="34868426">
      <w:start w:val="530"/>
      <w:numFmt w:val="bullet"/>
      <w:lvlText w:val="-"/>
      <w:lvlJc w:val="left"/>
      <w:pPr>
        <w:ind w:left="720" w:hanging="360"/>
      </w:pPr>
      <w:rPr>
        <w:rFonts w:ascii="Century" w:eastAsia="Times New Roman" w:hAnsi="Centur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5667D"/>
    <w:multiLevelType w:val="hybridMultilevel"/>
    <w:tmpl w:val="1930C4BE"/>
    <w:lvl w:ilvl="0" w:tplc="1276A1E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73A5E47"/>
    <w:multiLevelType w:val="hybridMultilevel"/>
    <w:tmpl w:val="E632AC5E"/>
    <w:lvl w:ilvl="0" w:tplc="27A42222">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43C05B2"/>
    <w:multiLevelType w:val="hybridMultilevel"/>
    <w:tmpl w:val="7D86096A"/>
    <w:lvl w:ilvl="0" w:tplc="D8224A22">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526ABA"/>
    <w:multiLevelType w:val="hybridMultilevel"/>
    <w:tmpl w:val="03C6FFE2"/>
    <w:lvl w:ilvl="0" w:tplc="3C641FB0">
      <w:start w:val="1"/>
      <w:numFmt w:val="bullet"/>
      <w:lvlText w:val="-"/>
      <w:lvlJc w:val="left"/>
      <w:pPr>
        <w:ind w:left="720" w:hanging="360"/>
      </w:pPr>
      <w:rPr>
        <w:rFonts w:ascii="Century" w:eastAsia="Times New Roman" w:hAnsi="Centur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0B70C0"/>
    <w:multiLevelType w:val="multilevel"/>
    <w:tmpl w:val="58A292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7" w15:restartNumberingAfterBreak="0">
    <w:nsid w:val="71EB1123"/>
    <w:multiLevelType w:val="hybridMultilevel"/>
    <w:tmpl w:val="48BA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3C3DC9"/>
    <w:multiLevelType w:val="hybridMultilevel"/>
    <w:tmpl w:val="80629FC8"/>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793B2ED5"/>
    <w:multiLevelType w:val="hybridMultilevel"/>
    <w:tmpl w:val="1526B8B6"/>
    <w:lvl w:ilvl="0" w:tplc="5A20FFB8">
      <w:start w:val="1"/>
      <w:numFmt w:val="decimal"/>
      <w:pStyle w:val="Header1"/>
      <w:lvlText w:val="[%1]"/>
      <w:lvlJc w:val="left"/>
      <w:pPr>
        <w:ind w:left="775" w:hanging="720"/>
      </w:pPr>
      <w:rPr>
        <w:rFonts w:hint="eastAsia"/>
        <w:i w:val="0"/>
      </w:rPr>
    </w:lvl>
    <w:lvl w:ilvl="1" w:tplc="5A20FFB8"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pStyle w:val="4"/>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pStyle w:val="6"/>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pStyle w:val="8"/>
      <w:lvlText w:val="%8、"/>
      <w:lvlJc w:val="left"/>
      <w:pPr>
        <w:ind w:left="3895" w:hanging="480"/>
      </w:pPr>
    </w:lvl>
    <w:lvl w:ilvl="8" w:tplc="0409001B" w:tentative="1">
      <w:start w:val="1"/>
      <w:numFmt w:val="lowerRoman"/>
      <w:pStyle w:val="9"/>
      <w:lvlText w:val="%9."/>
      <w:lvlJc w:val="right"/>
      <w:pPr>
        <w:ind w:left="4375" w:hanging="480"/>
      </w:pPr>
    </w:lvl>
  </w:abstractNum>
  <w:num w:numId="1" w16cid:durableId="1568497770">
    <w:abstractNumId w:val="3"/>
  </w:num>
  <w:num w:numId="2" w16cid:durableId="66348710">
    <w:abstractNumId w:val="9"/>
  </w:num>
  <w:num w:numId="3" w16cid:durableId="523665164">
    <w:abstractNumId w:val="2"/>
  </w:num>
  <w:num w:numId="4" w16cid:durableId="58286409">
    <w:abstractNumId w:val="6"/>
  </w:num>
  <w:num w:numId="5" w16cid:durableId="1323662248">
    <w:abstractNumId w:val="1"/>
  </w:num>
  <w:num w:numId="6" w16cid:durableId="1047684868">
    <w:abstractNumId w:val="5"/>
  </w:num>
  <w:num w:numId="7" w16cid:durableId="1343125145">
    <w:abstractNumId w:val="7"/>
  </w:num>
  <w:num w:numId="8" w16cid:durableId="2127314686">
    <w:abstractNumId w:val="4"/>
  </w:num>
  <w:num w:numId="9" w16cid:durableId="746852053">
    <w:abstractNumId w:val="0"/>
  </w:num>
  <w:num w:numId="10" w16cid:durableId="559753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activeWritingStyle w:appName="MSWord" w:lang="fr-CA" w:vendorID="64" w:dllVersion="6" w:nlCheck="1" w:checkStyle="0"/>
  <w:activeWritingStyle w:appName="MSWord" w:lang="en-US" w:vendorID="64" w:dllVersion="6" w:nlCheck="1" w:checkStyle="0"/>
  <w:activeWritingStyle w:appName="MSWord" w:lang="en-CA"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CA" w:vendorID="64" w:dllVersion="4096" w:nlCheck="1" w:checkStyle="0"/>
  <w:activeWritingStyle w:appName="MSWord" w:lang="en-GB" w:vendorID="64" w:dllVersion="4096" w:nlCheck="1" w:checkStyle="0"/>
  <w:activeWritingStyle w:appName="MSWord" w:lang="fr-CA" w:vendorID="64" w:dllVersion="4096" w:nlCheck="1" w:checkStyle="0"/>
  <w:activeWritingStyle w:appName="MSWord" w:lang="en-IN" w:vendorID="64" w:dllVersion="4096" w:nlCheck="1" w:checkStyle="0"/>
  <w:activeWritingStyle w:appName="MSWord" w:lang="en-IN"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6"/>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G2MDI3sTQ2Nbc0NzFR0lEKTi0uzszPAykwqQUAHwmP6SwAAAA="/>
  </w:docVars>
  <w:rsids>
    <w:rsidRoot w:val="00EC20A2"/>
    <w:rsid w:val="000063AF"/>
    <w:rsid w:val="000107CE"/>
    <w:rsid w:val="00010AC4"/>
    <w:rsid w:val="00025824"/>
    <w:rsid w:val="00027C09"/>
    <w:rsid w:val="00030D39"/>
    <w:rsid w:val="0003156F"/>
    <w:rsid w:val="00031CD6"/>
    <w:rsid w:val="00034892"/>
    <w:rsid w:val="00036D52"/>
    <w:rsid w:val="0004198A"/>
    <w:rsid w:val="00045FA0"/>
    <w:rsid w:val="00051BDD"/>
    <w:rsid w:val="0005205C"/>
    <w:rsid w:val="00054374"/>
    <w:rsid w:val="00061C5E"/>
    <w:rsid w:val="00063E8F"/>
    <w:rsid w:val="00070532"/>
    <w:rsid w:val="000717DE"/>
    <w:rsid w:val="00072538"/>
    <w:rsid w:val="000766DB"/>
    <w:rsid w:val="000767F1"/>
    <w:rsid w:val="00080C32"/>
    <w:rsid w:val="00081C8F"/>
    <w:rsid w:val="00082968"/>
    <w:rsid w:val="00086BCE"/>
    <w:rsid w:val="00094FEB"/>
    <w:rsid w:val="000A0955"/>
    <w:rsid w:val="000A2003"/>
    <w:rsid w:val="000A2075"/>
    <w:rsid w:val="000A777A"/>
    <w:rsid w:val="000B3606"/>
    <w:rsid w:val="000B6FEA"/>
    <w:rsid w:val="000C2E6B"/>
    <w:rsid w:val="000D49D2"/>
    <w:rsid w:val="000D69CD"/>
    <w:rsid w:val="000E18C1"/>
    <w:rsid w:val="000E6863"/>
    <w:rsid w:val="000F0558"/>
    <w:rsid w:val="000F3AF7"/>
    <w:rsid w:val="000F3B55"/>
    <w:rsid w:val="000F700C"/>
    <w:rsid w:val="000F7B03"/>
    <w:rsid w:val="00103695"/>
    <w:rsid w:val="001166F7"/>
    <w:rsid w:val="001178D2"/>
    <w:rsid w:val="00117A73"/>
    <w:rsid w:val="00123EE7"/>
    <w:rsid w:val="00125EB6"/>
    <w:rsid w:val="00125EC2"/>
    <w:rsid w:val="00132C98"/>
    <w:rsid w:val="001330B8"/>
    <w:rsid w:val="00133380"/>
    <w:rsid w:val="00135319"/>
    <w:rsid w:val="00137938"/>
    <w:rsid w:val="00137AF2"/>
    <w:rsid w:val="00137DEC"/>
    <w:rsid w:val="00140D67"/>
    <w:rsid w:val="00142E0B"/>
    <w:rsid w:val="00142F3E"/>
    <w:rsid w:val="00143C8C"/>
    <w:rsid w:val="001449B6"/>
    <w:rsid w:val="00147630"/>
    <w:rsid w:val="00151B39"/>
    <w:rsid w:val="00151FDB"/>
    <w:rsid w:val="00152E5E"/>
    <w:rsid w:val="001538BF"/>
    <w:rsid w:val="00153CE2"/>
    <w:rsid w:val="00154A28"/>
    <w:rsid w:val="00157E94"/>
    <w:rsid w:val="00160D46"/>
    <w:rsid w:val="00161C9A"/>
    <w:rsid w:val="00171395"/>
    <w:rsid w:val="00171DB4"/>
    <w:rsid w:val="001755D5"/>
    <w:rsid w:val="001823AF"/>
    <w:rsid w:val="001836F2"/>
    <w:rsid w:val="001903AA"/>
    <w:rsid w:val="00190BFD"/>
    <w:rsid w:val="00195846"/>
    <w:rsid w:val="00197308"/>
    <w:rsid w:val="001A27A4"/>
    <w:rsid w:val="001A507E"/>
    <w:rsid w:val="001A5E98"/>
    <w:rsid w:val="001B0C79"/>
    <w:rsid w:val="001B0F21"/>
    <w:rsid w:val="001B1156"/>
    <w:rsid w:val="001B1FD0"/>
    <w:rsid w:val="001B5CB7"/>
    <w:rsid w:val="001D2F53"/>
    <w:rsid w:val="001D4179"/>
    <w:rsid w:val="001D49CA"/>
    <w:rsid w:val="001D51A2"/>
    <w:rsid w:val="001D53AF"/>
    <w:rsid w:val="001F3A6F"/>
    <w:rsid w:val="001F5A4D"/>
    <w:rsid w:val="002014A0"/>
    <w:rsid w:val="002016E8"/>
    <w:rsid w:val="0021151C"/>
    <w:rsid w:val="00215B4F"/>
    <w:rsid w:val="00223E13"/>
    <w:rsid w:val="00230899"/>
    <w:rsid w:val="002352B4"/>
    <w:rsid w:val="00243127"/>
    <w:rsid w:val="0024574E"/>
    <w:rsid w:val="002506BC"/>
    <w:rsid w:val="00252CAB"/>
    <w:rsid w:val="002531FF"/>
    <w:rsid w:val="00255E73"/>
    <w:rsid w:val="00255F14"/>
    <w:rsid w:val="00261103"/>
    <w:rsid w:val="002627AE"/>
    <w:rsid w:val="00265FCC"/>
    <w:rsid w:val="00272FF7"/>
    <w:rsid w:val="00273EF3"/>
    <w:rsid w:val="002773ED"/>
    <w:rsid w:val="002814CB"/>
    <w:rsid w:val="00282905"/>
    <w:rsid w:val="00283D2B"/>
    <w:rsid w:val="00294A51"/>
    <w:rsid w:val="002A0621"/>
    <w:rsid w:val="002A0737"/>
    <w:rsid w:val="002A27DB"/>
    <w:rsid w:val="002A6935"/>
    <w:rsid w:val="002B1549"/>
    <w:rsid w:val="002B3308"/>
    <w:rsid w:val="002D24E4"/>
    <w:rsid w:val="002D2E10"/>
    <w:rsid w:val="002D44BF"/>
    <w:rsid w:val="002E7E48"/>
    <w:rsid w:val="002F19A6"/>
    <w:rsid w:val="002F1C58"/>
    <w:rsid w:val="003014C6"/>
    <w:rsid w:val="00303F85"/>
    <w:rsid w:val="003040F9"/>
    <w:rsid w:val="00305347"/>
    <w:rsid w:val="0030754F"/>
    <w:rsid w:val="0031099A"/>
    <w:rsid w:val="00322548"/>
    <w:rsid w:val="00325AC6"/>
    <w:rsid w:val="00327D14"/>
    <w:rsid w:val="003325B3"/>
    <w:rsid w:val="00334383"/>
    <w:rsid w:val="00335800"/>
    <w:rsid w:val="00342EDB"/>
    <w:rsid w:val="00344115"/>
    <w:rsid w:val="00345749"/>
    <w:rsid w:val="00347F3F"/>
    <w:rsid w:val="00350284"/>
    <w:rsid w:val="00357A58"/>
    <w:rsid w:val="00360584"/>
    <w:rsid w:val="00361AE0"/>
    <w:rsid w:val="003629BB"/>
    <w:rsid w:val="00370451"/>
    <w:rsid w:val="0037303C"/>
    <w:rsid w:val="00377EF5"/>
    <w:rsid w:val="00381222"/>
    <w:rsid w:val="00381919"/>
    <w:rsid w:val="00382032"/>
    <w:rsid w:val="003845FB"/>
    <w:rsid w:val="00385708"/>
    <w:rsid w:val="0038703D"/>
    <w:rsid w:val="00393442"/>
    <w:rsid w:val="00393501"/>
    <w:rsid w:val="003938CD"/>
    <w:rsid w:val="00396954"/>
    <w:rsid w:val="003A44CA"/>
    <w:rsid w:val="003A4C42"/>
    <w:rsid w:val="003A5130"/>
    <w:rsid w:val="003B3190"/>
    <w:rsid w:val="003C430B"/>
    <w:rsid w:val="003C5E34"/>
    <w:rsid w:val="003D73F1"/>
    <w:rsid w:val="003E0AE8"/>
    <w:rsid w:val="003F02F5"/>
    <w:rsid w:val="003F12B3"/>
    <w:rsid w:val="003F1C38"/>
    <w:rsid w:val="003F44D1"/>
    <w:rsid w:val="003F78E7"/>
    <w:rsid w:val="003F7C3D"/>
    <w:rsid w:val="00402558"/>
    <w:rsid w:val="00403E9A"/>
    <w:rsid w:val="00417C83"/>
    <w:rsid w:val="004234AA"/>
    <w:rsid w:val="00423CE5"/>
    <w:rsid w:val="004323A3"/>
    <w:rsid w:val="004327DD"/>
    <w:rsid w:val="00447060"/>
    <w:rsid w:val="00453200"/>
    <w:rsid w:val="004545E9"/>
    <w:rsid w:val="004701D8"/>
    <w:rsid w:val="00476C13"/>
    <w:rsid w:val="00477218"/>
    <w:rsid w:val="00477E7F"/>
    <w:rsid w:val="00481475"/>
    <w:rsid w:val="00484E75"/>
    <w:rsid w:val="004855D7"/>
    <w:rsid w:val="00491048"/>
    <w:rsid w:val="00491974"/>
    <w:rsid w:val="00494ECE"/>
    <w:rsid w:val="004B0724"/>
    <w:rsid w:val="004B182C"/>
    <w:rsid w:val="004C2FCF"/>
    <w:rsid w:val="004C4077"/>
    <w:rsid w:val="004C6C4D"/>
    <w:rsid w:val="004C7F16"/>
    <w:rsid w:val="004D3813"/>
    <w:rsid w:val="004D3E8B"/>
    <w:rsid w:val="004E0C5D"/>
    <w:rsid w:val="00500855"/>
    <w:rsid w:val="0050097C"/>
    <w:rsid w:val="00502D83"/>
    <w:rsid w:val="00503D7B"/>
    <w:rsid w:val="00505BE8"/>
    <w:rsid w:val="00510023"/>
    <w:rsid w:val="00512E9A"/>
    <w:rsid w:val="005178CC"/>
    <w:rsid w:val="00520A27"/>
    <w:rsid w:val="00532DD4"/>
    <w:rsid w:val="00535487"/>
    <w:rsid w:val="005371ED"/>
    <w:rsid w:val="00546DE9"/>
    <w:rsid w:val="00557016"/>
    <w:rsid w:val="00557648"/>
    <w:rsid w:val="00573374"/>
    <w:rsid w:val="00577CA9"/>
    <w:rsid w:val="00581AA0"/>
    <w:rsid w:val="00583874"/>
    <w:rsid w:val="00586484"/>
    <w:rsid w:val="00596F92"/>
    <w:rsid w:val="00597117"/>
    <w:rsid w:val="005A0BEE"/>
    <w:rsid w:val="005A2BC2"/>
    <w:rsid w:val="005A3549"/>
    <w:rsid w:val="005A41A1"/>
    <w:rsid w:val="005A7AEC"/>
    <w:rsid w:val="005B01A5"/>
    <w:rsid w:val="005C40A1"/>
    <w:rsid w:val="005C43C0"/>
    <w:rsid w:val="005C4A31"/>
    <w:rsid w:val="005C5711"/>
    <w:rsid w:val="005D0F7C"/>
    <w:rsid w:val="005D10B8"/>
    <w:rsid w:val="005D47A3"/>
    <w:rsid w:val="005E3915"/>
    <w:rsid w:val="005F1FEA"/>
    <w:rsid w:val="005F2400"/>
    <w:rsid w:val="005F311E"/>
    <w:rsid w:val="006008D4"/>
    <w:rsid w:val="00610A20"/>
    <w:rsid w:val="00610A52"/>
    <w:rsid w:val="00612440"/>
    <w:rsid w:val="00613F81"/>
    <w:rsid w:val="006214BD"/>
    <w:rsid w:val="00623AE5"/>
    <w:rsid w:val="006258BA"/>
    <w:rsid w:val="00631A7D"/>
    <w:rsid w:val="00632DC9"/>
    <w:rsid w:val="0063480A"/>
    <w:rsid w:val="00636EE4"/>
    <w:rsid w:val="006412F4"/>
    <w:rsid w:val="00652705"/>
    <w:rsid w:val="00657561"/>
    <w:rsid w:val="00665DF9"/>
    <w:rsid w:val="0067434E"/>
    <w:rsid w:val="00674F53"/>
    <w:rsid w:val="00675C4F"/>
    <w:rsid w:val="00676C05"/>
    <w:rsid w:val="00676E19"/>
    <w:rsid w:val="00690690"/>
    <w:rsid w:val="00693974"/>
    <w:rsid w:val="00695689"/>
    <w:rsid w:val="00697C03"/>
    <w:rsid w:val="006A1A72"/>
    <w:rsid w:val="006A3BFC"/>
    <w:rsid w:val="006A4F59"/>
    <w:rsid w:val="006A6B1A"/>
    <w:rsid w:val="006B33F3"/>
    <w:rsid w:val="006B43F5"/>
    <w:rsid w:val="006B7000"/>
    <w:rsid w:val="006C3F55"/>
    <w:rsid w:val="006C4B0D"/>
    <w:rsid w:val="006C6F9B"/>
    <w:rsid w:val="006D0936"/>
    <w:rsid w:val="006D28F3"/>
    <w:rsid w:val="006D3CCA"/>
    <w:rsid w:val="006D5626"/>
    <w:rsid w:val="006D5FDB"/>
    <w:rsid w:val="006E1C08"/>
    <w:rsid w:val="006E30CF"/>
    <w:rsid w:val="006E3280"/>
    <w:rsid w:val="006E6508"/>
    <w:rsid w:val="006E7CBB"/>
    <w:rsid w:val="006F11DF"/>
    <w:rsid w:val="006F527A"/>
    <w:rsid w:val="00706CEF"/>
    <w:rsid w:val="007072B4"/>
    <w:rsid w:val="007151F9"/>
    <w:rsid w:val="00723184"/>
    <w:rsid w:val="0072401B"/>
    <w:rsid w:val="007264C4"/>
    <w:rsid w:val="00730FDC"/>
    <w:rsid w:val="00736A90"/>
    <w:rsid w:val="00737D70"/>
    <w:rsid w:val="0074687A"/>
    <w:rsid w:val="00746D48"/>
    <w:rsid w:val="00753608"/>
    <w:rsid w:val="007667A5"/>
    <w:rsid w:val="00795BBF"/>
    <w:rsid w:val="007A2C45"/>
    <w:rsid w:val="007B01AC"/>
    <w:rsid w:val="007B2D75"/>
    <w:rsid w:val="007B40A9"/>
    <w:rsid w:val="007B53BE"/>
    <w:rsid w:val="007B59E1"/>
    <w:rsid w:val="007C7365"/>
    <w:rsid w:val="007D40F6"/>
    <w:rsid w:val="007E05C7"/>
    <w:rsid w:val="007E2464"/>
    <w:rsid w:val="007F25DA"/>
    <w:rsid w:val="007F31DD"/>
    <w:rsid w:val="007F64D3"/>
    <w:rsid w:val="00802651"/>
    <w:rsid w:val="00811276"/>
    <w:rsid w:val="008129B7"/>
    <w:rsid w:val="00812C87"/>
    <w:rsid w:val="00817410"/>
    <w:rsid w:val="0081782D"/>
    <w:rsid w:val="008202E2"/>
    <w:rsid w:val="00820931"/>
    <w:rsid w:val="008245BF"/>
    <w:rsid w:val="00824ADA"/>
    <w:rsid w:val="0082719A"/>
    <w:rsid w:val="0083183D"/>
    <w:rsid w:val="00834173"/>
    <w:rsid w:val="008351FC"/>
    <w:rsid w:val="00841112"/>
    <w:rsid w:val="00841E8E"/>
    <w:rsid w:val="00842DA4"/>
    <w:rsid w:val="008434DC"/>
    <w:rsid w:val="0084455C"/>
    <w:rsid w:val="008479EF"/>
    <w:rsid w:val="0085422D"/>
    <w:rsid w:val="0085638A"/>
    <w:rsid w:val="00857391"/>
    <w:rsid w:val="00861D71"/>
    <w:rsid w:val="00873C40"/>
    <w:rsid w:val="008869EE"/>
    <w:rsid w:val="00893941"/>
    <w:rsid w:val="008B0350"/>
    <w:rsid w:val="008B12D9"/>
    <w:rsid w:val="008B263D"/>
    <w:rsid w:val="008B6515"/>
    <w:rsid w:val="008C10DC"/>
    <w:rsid w:val="008C1665"/>
    <w:rsid w:val="008C58BC"/>
    <w:rsid w:val="008D285B"/>
    <w:rsid w:val="008D2C72"/>
    <w:rsid w:val="008D6044"/>
    <w:rsid w:val="008E030F"/>
    <w:rsid w:val="008E3E03"/>
    <w:rsid w:val="008E4669"/>
    <w:rsid w:val="008E4830"/>
    <w:rsid w:val="008E49DA"/>
    <w:rsid w:val="008E601E"/>
    <w:rsid w:val="008E6E82"/>
    <w:rsid w:val="008F1464"/>
    <w:rsid w:val="009040EA"/>
    <w:rsid w:val="00905207"/>
    <w:rsid w:val="009115FD"/>
    <w:rsid w:val="00912459"/>
    <w:rsid w:val="009150D3"/>
    <w:rsid w:val="00920173"/>
    <w:rsid w:val="009232DE"/>
    <w:rsid w:val="009233E2"/>
    <w:rsid w:val="0092459B"/>
    <w:rsid w:val="0093002C"/>
    <w:rsid w:val="00930D6E"/>
    <w:rsid w:val="00935917"/>
    <w:rsid w:val="0093703A"/>
    <w:rsid w:val="0093747A"/>
    <w:rsid w:val="00946E10"/>
    <w:rsid w:val="00950321"/>
    <w:rsid w:val="00952F60"/>
    <w:rsid w:val="00953015"/>
    <w:rsid w:val="00956034"/>
    <w:rsid w:val="00960CCB"/>
    <w:rsid w:val="009611D8"/>
    <w:rsid w:val="00970276"/>
    <w:rsid w:val="00971B46"/>
    <w:rsid w:val="00972BC8"/>
    <w:rsid w:val="00977C6D"/>
    <w:rsid w:val="00982B22"/>
    <w:rsid w:val="00983A70"/>
    <w:rsid w:val="00986FA9"/>
    <w:rsid w:val="009873AF"/>
    <w:rsid w:val="00993C30"/>
    <w:rsid w:val="009A1259"/>
    <w:rsid w:val="009A7069"/>
    <w:rsid w:val="009A7AD2"/>
    <w:rsid w:val="009B27F0"/>
    <w:rsid w:val="009B3702"/>
    <w:rsid w:val="009B3D8D"/>
    <w:rsid w:val="009C3393"/>
    <w:rsid w:val="009C4695"/>
    <w:rsid w:val="009C6585"/>
    <w:rsid w:val="009D3D52"/>
    <w:rsid w:val="009D5F46"/>
    <w:rsid w:val="009E2AC9"/>
    <w:rsid w:val="009E2C30"/>
    <w:rsid w:val="009E5233"/>
    <w:rsid w:val="009E606F"/>
    <w:rsid w:val="009F15D4"/>
    <w:rsid w:val="009F2B11"/>
    <w:rsid w:val="009F6A54"/>
    <w:rsid w:val="009F7CA9"/>
    <w:rsid w:val="00A00408"/>
    <w:rsid w:val="00A025F1"/>
    <w:rsid w:val="00A07267"/>
    <w:rsid w:val="00A165B8"/>
    <w:rsid w:val="00A222C0"/>
    <w:rsid w:val="00A37054"/>
    <w:rsid w:val="00A4108C"/>
    <w:rsid w:val="00A42F69"/>
    <w:rsid w:val="00A44D5C"/>
    <w:rsid w:val="00A516CA"/>
    <w:rsid w:val="00A56797"/>
    <w:rsid w:val="00A57916"/>
    <w:rsid w:val="00A6045D"/>
    <w:rsid w:val="00A60662"/>
    <w:rsid w:val="00A60A7F"/>
    <w:rsid w:val="00A61701"/>
    <w:rsid w:val="00A66552"/>
    <w:rsid w:val="00A70017"/>
    <w:rsid w:val="00A70109"/>
    <w:rsid w:val="00A77283"/>
    <w:rsid w:val="00A82075"/>
    <w:rsid w:val="00A84CC4"/>
    <w:rsid w:val="00A873B6"/>
    <w:rsid w:val="00A917BA"/>
    <w:rsid w:val="00A97E43"/>
    <w:rsid w:val="00AA1E28"/>
    <w:rsid w:val="00AA4038"/>
    <w:rsid w:val="00AA49A6"/>
    <w:rsid w:val="00AA4DF2"/>
    <w:rsid w:val="00AA694B"/>
    <w:rsid w:val="00AB514B"/>
    <w:rsid w:val="00AB51FC"/>
    <w:rsid w:val="00AC4767"/>
    <w:rsid w:val="00AC58F3"/>
    <w:rsid w:val="00AC696F"/>
    <w:rsid w:val="00AD3566"/>
    <w:rsid w:val="00AD5A28"/>
    <w:rsid w:val="00AD7183"/>
    <w:rsid w:val="00AE31BF"/>
    <w:rsid w:val="00AE482F"/>
    <w:rsid w:val="00AE5777"/>
    <w:rsid w:val="00AF1979"/>
    <w:rsid w:val="00AF20C8"/>
    <w:rsid w:val="00AF2E28"/>
    <w:rsid w:val="00AF7C6B"/>
    <w:rsid w:val="00B01360"/>
    <w:rsid w:val="00B01F61"/>
    <w:rsid w:val="00B0542A"/>
    <w:rsid w:val="00B1102E"/>
    <w:rsid w:val="00B11EF8"/>
    <w:rsid w:val="00B122A5"/>
    <w:rsid w:val="00B24E3A"/>
    <w:rsid w:val="00B26CD1"/>
    <w:rsid w:val="00B30648"/>
    <w:rsid w:val="00B34A62"/>
    <w:rsid w:val="00B37135"/>
    <w:rsid w:val="00B42010"/>
    <w:rsid w:val="00B430B9"/>
    <w:rsid w:val="00B44999"/>
    <w:rsid w:val="00B45E6D"/>
    <w:rsid w:val="00B45FF7"/>
    <w:rsid w:val="00B50D54"/>
    <w:rsid w:val="00B51FB5"/>
    <w:rsid w:val="00B5403B"/>
    <w:rsid w:val="00B5506D"/>
    <w:rsid w:val="00B55294"/>
    <w:rsid w:val="00B55513"/>
    <w:rsid w:val="00B56990"/>
    <w:rsid w:val="00B5784B"/>
    <w:rsid w:val="00B63431"/>
    <w:rsid w:val="00B64006"/>
    <w:rsid w:val="00B757D5"/>
    <w:rsid w:val="00B808E2"/>
    <w:rsid w:val="00B823D2"/>
    <w:rsid w:val="00B8393C"/>
    <w:rsid w:val="00B84055"/>
    <w:rsid w:val="00B94D32"/>
    <w:rsid w:val="00BA2F70"/>
    <w:rsid w:val="00BA3BB2"/>
    <w:rsid w:val="00BA444C"/>
    <w:rsid w:val="00BA73B3"/>
    <w:rsid w:val="00BB4009"/>
    <w:rsid w:val="00BB6217"/>
    <w:rsid w:val="00BB63F8"/>
    <w:rsid w:val="00BC1DA9"/>
    <w:rsid w:val="00BD1F60"/>
    <w:rsid w:val="00BE4C85"/>
    <w:rsid w:val="00BE5D66"/>
    <w:rsid w:val="00BE6C23"/>
    <w:rsid w:val="00BF04D0"/>
    <w:rsid w:val="00BF0F4E"/>
    <w:rsid w:val="00C059FE"/>
    <w:rsid w:val="00C064FE"/>
    <w:rsid w:val="00C10465"/>
    <w:rsid w:val="00C14619"/>
    <w:rsid w:val="00C24E73"/>
    <w:rsid w:val="00C27B7F"/>
    <w:rsid w:val="00C30B66"/>
    <w:rsid w:val="00C3425D"/>
    <w:rsid w:val="00C35559"/>
    <w:rsid w:val="00C40283"/>
    <w:rsid w:val="00C4153C"/>
    <w:rsid w:val="00C42B01"/>
    <w:rsid w:val="00C434C5"/>
    <w:rsid w:val="00C526A9"/>
    <w:rsid w:val="00C52CC8"/>
    <w:rsid w:val="00C57C99"/>
    <w:rsid w:val="00C612A6"/>
    <w:rsid w:val="00C66139"/>
    <w:rsid w:val="00C66E47"/>
    <w:rsid w:val="00C73A15"/>
    <w:rsid w:val="00C742B3"/>
    <w:rsid w:val="00C74827"/>
    <w:rsid w:val="00C80EA0"/>
    <w:rsid w:val="00C8355F"/>
    <w:rsid w:val="00C85F6F"/>
    <w:rsid w:val="00C870ED"/>
    <w:rsid w:val="00C92248"/>
    <w:rsid w:val="00C96BC8"/>
    <w:rsid w:val="00CA17FA"/>
    <w:rsid w:val="00CA2FDA"/>
    <w:rsid w:val="00CA5A1D"/>
    <w:rsid w:val="00CA6385"/>
    <w:rsid w:val="00CB5427"/>
    <w:rsid w:val="00CC2502"/>
    <w:rsid w:val="00CC2893"/>
    <w:rsid w:val="00CC2C8F"/>
    <w:rsid w:val="00CC4569"/>
    <w:rsid w:val="00CC5138"/>
    <w:rsid w:val="00CD05EA"/>
    <w:rsid w:val="00CD4789"/>
    <w:rsid w:val="00CD5AF4"/>
    <w:rsid w:val="00CE0BAA"/>
    <w:rsid w:val="00CE1F47"/>
    <w:rsid w:val="00CE6B77"/>
    <w:rsid w:val="00CE77C6"/>
    <w:rsid w:val="00CE7FBB"/>
    <w:rsid w:val="00CF1922"/>
    <w:rsid w:val="00CF49C8"/>
    <w:rsid w:val="00D02512"/>
    <w:rsid w:val="00D032A3"/>
    <w:rsid w:val="00D0445B"/>
    <w:rsid w:val="00D15AB6"/>
    <w:rsid w:val="00D16AAD"/>
    <w:rsid w:val="00D20E61"/>
    <w:rsid w:val="00D217CC"/>
    <w:rsid w:val="00D316FB"/>
    <w:rsid w:val="00D3298F"/>
    <w:rsid w:val="00D40E52"/>
    <w:rsid w:val="00D43DF8"/>
    <w:rsid w:val="00D46F94"/>
    <w:rsid w:val="00D51276"/>
    <w:rsid w:val="00D52444"/>
    <w:rsid w:val="00D545BA"/>
    <w:rsid w:val="00D56708"/>
    <w:rsid w:val="00D56794"/>
    <w:rsid w:val="00D6055F"/>
    <w:rsid w:val="00D61B81"/>
    <w:rsid w:val="00D7476D"/>
    <w:rsid w:val="00D808CA"/>
    <w:rsid w:val="00D80D30"/>
    <w:rsid w:val="00D80E31"/>
    <w:rsid w:val="00D82751"/>
    <w:rsid w:val="00D83110"/>
    <w:rsid w:val="00D91963"/>
    <w:rsid w:val="00D94802"/>
    <w:rsid w:val="00D97CC7"/>
    <w:rsid w:val="00DA3F8C"/>
    <w:rsid w:val="00DA56AF"/>
    <w:rsid w:val="00DB06CB"/>
    <w:rsid w:val="00DB27BC"/>
    <w:rsid w:val="00DB3013"/>
    <w:rsid w:val="00DB31B6"/>
    <w:rsid w:val="00DB6A11"/>
    <w:rsid w:val="00DB7CC1"/>
    <w:rsid w:val="00DC1154"/>
    <w:rsid w:val="00DC1F24"/>
    <w:rsid w:val="00DC23D5"/>
    <w:rsid w:val="00DD3C2F"/>
    <w:rsid w:val="00DE1E0B"/>
    <w:rsid w:val="00DE38DF"/>
    <w:rsid w:val="00DE6FAD"/>
    <w:rsid w:val="00DE7734"/>
    <w:rsid w:val="00E0131D"/>
    <w:rsid w:val="00E04BA4"/>
    <w:rsid w:val="00E05DAD"/>
    <w:rsid w:val="00E20C88"/>
    <w:rsid w:val="00E22DA2"/>
    <w:rsid w:val="00E23D20"/>
    <w:rsid w:val="00E3064F"/>
    <w:rsid w:val="00E313F7"/>
    <w:rsid w:val="00E331DC"/>
    <w:rsid w:val="00E3357B"/>
    <w:rsid w:val="00E50A63"/>
    <w:rsid w:val="00E55FAC"/>
    <w:rsid w:val="00E726F3"/>
    <w:rsid w:val="00E743F7"/>
    <w:rsid w:val="00E75A41"/>
    <w:rsid w:val="00E766DF"/>
    <w:rsid w:val="00E83E7B"/>
    <w:rsid w:val="00EA1DEF"/>
    <w:rsid w:val="00EA1E4F"/>
    <w:rsid w:val="00EA7299"/>
    <w:rsid w:val="00EB1829"/>
    <w:rsid w:val="00EC20A2"/>
    <w:rsid w:val="00ED1311"/>
    <w:rsid w:val="00ED736C"/>
    <w:rsid w:val="00EE010E"/>
    <w:rsid w:val="00EE0FCB"/>
    <w:rsid w:val="00EE10AA"/>
    <w:rsid w:val="00EF3062"/>
    <w:rsid w:val="00EF68A8"/>
    <w:rsid w:val="00EF7B75"/>
    <w:rsid w:val="00F03F62"/>
    <w:rsid w:val="00F13A95"/>
    <w:rsid w:val="00F14493"/>
    <w:rsid w:val="00F15F4E"/>
    <w:rsid w:val="00F1768D"/>
    <w:rsid w:val="00F205EB"/>
    <w:rsid w:val="00F20738"/>
    <w:rsid w:val="00F31E0B"/>
    <w:rsid w:val="00F3203A"/>
    <w:rsid w:val="00F32939"/>
    <w:rsid w:val="00F336DF"/>
    <w:rsid w:val="00F35977"/>
    <w:rsid w:val="00F3663F"/>
    <w:rsid w:val="00F4221D"/>
    <w:rsid w:val="00F4776C"/>
    <w:rsid w:val="00F506A5"/>
    <w:rsid w:val="00F5677D"/>
    <w:rsid w:val="00F663F1"/>
    <w:rsid w:val="00F7031F"/>
    <w:rsid w:val="00F72F48"/>
    <w:rsid w:val="00F732F5"/>
    <w:rsid w:val="00F75DA0"/>
    <w:rsid w:val="00F834B3"/>
    <w:rsid w:val="00F850B5"/>
    <w:rsid w:val="00F8661C"/>
    <w:rsid w:val="00F90D60"/>
    <w:rsid w:val="00F943B5"/>
    <w:rsid w:val="00FA16D8"/>
    <w:rsid w:val="00FA27CA"/>
    <w:rsid w:val="00FA27F0"/>
    <w:rsid w:val="00FA421E"/>
    <w:rsid w:val="00FB5A6A"/>
    <w:rsid w:val="00FC4ECF"/>
    <w:rsid w:val="00FC5DA9"/>
    <w:rsid w:val="00FD5AFA"/>
    <w:rsid w:val="00FD66BE"/>
    <w:rsid w:val="00FD7BED"/>
    <w:rsid w:val="00FE7768"/>
    <w:rsid w:val="00FF0DB2"/>
    <w:rsid w:val="00FF1A67"/>
    <w:rsid w:val="00FF4A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E9F24"/>
  <w15:docId w15:val="{13898AE8-0D3F-4652-9016-04E4A5332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0284"/>
    <w:pPr>
      <w:widowControl w:val="0"/>
    </w:pPr>
    <w:rPr>
      <w:kern w:val="2"/>
      <w:sz w:val="24"/>
      <w:szCs w:val="24"/>
    </w:rPr>
  </w:style>
  <w:style w:type="paragraph" w:styleId="1">
    <w:name w:val="heading 1"/>
    <w:basedOn w:val="a"/>
    <w:next w:val="a"/>
    <w:link w:val="10"/>
    <w:qFormat/>
    <w:rsid w:val="00C064F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semiHidden/>
    <w:unhideWhenUsed/>
    <w:qFormat/>
    <w:rsid w:val="003A513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semiHidden/>
    <w:unhideWhenUsed/>
    <w:qFormat/>
    <w:rsid w:val="00950321"/>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0"/>
    <w:link w:val="40"/>
    <w:qFormat/>
    <w:rsid w:val="0050097C"/>
    <w:pPr>
      <w:keepNext/>
      <w:widowControl/>
      <w:numPr>
        <w:ilvl w:val="3"/>
        <w:numId w:val="2"/>
      </w:numPr>
      <w:suppressAutoHyphens/>
      <w:spacing w:before="240" w:after="60"/>
      <w:ind w:left="1152" w:hanging="720"/>
      <w:outlineLvl w:val="3"/>
    </w:pPr>
    <w:rPr>
      <w:rFonts w:eastAsia="Times New Roman"/>
      <w:i/>
      <w:iCs/>
      <w:kern w:val="1"/>
      <w:sz w:val="18"/>
      <w:szCs w:val="18"/>
      <w:lang w:eastAsia="en-US"/>
    </w:rPr>
  </w:style>
  <w:style w:type="paragraph" w:styleId="6">
    <w:name w:val="heading 6"/>
    <w:basedOn w:val="a"/>
    <w:next w:val="a0"/>
    <w:link w:val="60"/>
    <w:uiPriority w:val="9"/>
    <w:qFormat/>
    <w:rsid w:val="0050097C"/>
    <w:pPr>
      <w:widowControl/>
      <w:numPr>
        <w:ilvl w:val="5"/>
        <w:numId w:val="2"/>
      </w:numPr>
      <w:suppressAutoHyphens/>
      <w:spacing w:before="240" w:after="60"/>
      <w:ind w:left="2592" w:hanging="720"/>
      <w:outlineLvl w:val="5"/>
    </w:pPr>
    <w:rPr>
      <w:rFonts w:eastAsia="Times New Roman"/>
      <w:i/>
      <w:iCs/>
      <w:kern w:val="1"/>
      <w:sz w:val="16"/>
      <w:szCs w:val="16"/>
      <w:lang w:eastAsia="en-US"/>
    </w:rPr>
  </w:style>
  <w:style w:type="paragraph" w:styleId="8">
    <w:name w:val="heading 8"/>
    <w:basedOn w:val="a"/>
    <w:next w:val="a0"/>
    <w:link w:val="80"/>
    <w:uiPriority w:val="9"/>
    <w:qFormat/>
    <w:rsid w:val="0050097C"/>
    <w:pPr>
      <w:widowControl/>
      <w:numPr>
        <w:ilvl w:val="7"/>
        <w:numId w:val="2"/>
      </w:numPr>
      <w:suppressAutoHyphens/>
      <w:spacing w:before="240" w:after="60"/>
      <w:ind w:left="4032" w:hanging="720"/>
      <w:outlineLvl w:val="7"/>
    </w:pPr>
    <w:rPr>
      <w:rFonts w:eastAsia="Times New Roman"/>
      <w:i/>
      <w:iCs/>
      <w:kern w:val="1"/>
      <w:sz w:val="16"/>
      <w:szCs w:val="16"/>
      <w:lang w:eastAsia="en-US"/>
    </w:rPr>
  </w:style>
  <w:style w:type="paragraph" w:styleId="9">
    <w:name w:val="heading 9"/>
    <w:basedOn w:val="a"/>
    <w:next w:val="a0"/>
    <w:link w:val="90"/>
    <w:uiPriority w:val="9"/>
    <w:qFormat/>
    <w:rsid w:val="0050097C"/>
    <w:pPr>
      <w:widowControl/>
      <w:numPr>
        <w:ilvl w:val="8"/>
        <w:numId w:val="2"/>
      </w:numPr>
      <w:suppressAutoHyphens/>
      <w:spacing w:before="240" w:after="60"/>
      <w:ind w:left="4752" w:hanging="720"/>
      <w:outlineLvl w:val="8"/>
    </w:pPr>
    <w:rPr>
      <w:rFonts w:eastAsia="Times New Roman"/>
      <w:kern w:val="1"/>
      <w:sz w:val="16"/>
      <w:szCs w:val="16"/>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Pr>
      <w:rFonts w:ascii="Verdana" w:hAnsi="Verdana" w:hint="default"/>
      <w:color w:val="000033"/>
      <w:sz w:val="20"/>
      <w:szCs w:val="20"/>
      <w:u w:val="single"/>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character" w:styleId="a5">
    <w:name w:val="FollowedHyperlink"/>
    <w:basedOn w:val="a1"/>
    <w:rPr>
      <w:color w:val="800080"/>
      <w:u w:val="single"/>
    </w:rPr>
  </w:style>
  <w:style w:type="paragraph" w:styleId="a6">
    <w:name w:val="footer"/>
    <w:basedOn w:val="a"/>
    <w:pPr>
      <w:tabs>
        <w:tab w:val="center" w:pos="4153"/>
        <w:tab w:val="right" w:pos="8306"/>
      </w:tabs>
      <w:snapToGrid w:val="0"/>
    </w:pPr>
    <w:rPr>
      <w:sz w:val="20"/>
      <w:szCs w:val="20"/>
    </w:rPr>
  </w:style>
  <w:style w:type="character" w:styleId="a7">
    <w:name w:val="Strong"/>
    <w:basedOn w:val="a1"/>
    <w:uiPriority w:val="22"/>
    <w:qFormat/>
    <w:rPr>
      <w:b/>
      <w:bCs/>
    </w:rPr>
  </w:style>
  <w:style w:type="paragraph" w:styleId="a8">
    <w:name w:val="Plain Text"/>
    <w:basedOn w:val="a"/>
    <w:rsid w:val="00D83110"/>
    <w:pPr>
      <w:jc w:val="both"/>
    </w:pPr>
    <w:rPr>
      <w:rFonts w:ascii="MS Mincho" w:eastAsia="MS Mincho" w:hAnsi="Courier New" w:cs="Courier New"/>
      <w:sz w:val="21"/>
      <w:szCs w:val="21"/>
      <w:lang w:eastAsia="ja-JP"/>
    </w:rPr>
  </w:style>
  <w:style w:type="paragraph" w:customStyle="1" w:styleId="21">
    <w:name w:val="樣式2"/>
    <w:basedOn w:val="a"/>
    <w:rsid w:val="00D83110"/>
    <w:pPr>
      <w:spacing w:before="120" w:line="480" w:lineRule="auto"/>
      <w:jc w:val="both"/>
    </w:pPr>
    <w:rPr>
      <w:bCs/>
      <w:kern w:val="0"/>
      <w:szCs w:val="20"/>
    </w:rPr>
  </w:style>
  <w:style w:type="paragraph" w:styleId="a9">
    <w:name w:val="header"/>
    <w:aliases w:val=" 字元,字元"/>
    <w:basedOn w:val="a"/>
    <w:link w:val="aa"/>
    <w:uiPriority w:val="99"/>
    <w:rsid w:val="00153CE2"/>
    <w:pPr>
      <w:tabs>
        <w:tab w:val="center" w:pos="4153"/>
        <w:tab w:val="right" w:pos="8306"/>
      </w:tabs>
      <w:snapToGrid w:val="0"/>
    </w:pPr>
    <w:rPr>
      <w:sz w:val="20"/>
      <w:szCs w:val="20"/>
    </w:rPr>
  </w:style>
  <w:style w:type="character" w:styleId="ab">
    <w:name w:val="page number"/>
    <w:basedOn w:val="a1"/>
    <w:rsid w:val="005D10B8"/>
  </w:style>
  <w:style w:type="table" w:styleId="ac">
    <w:name w:val="Table Grid"/>
    <w:basedOn w:val="a2"/>
    <w:uiPriority w:val="59"/>
    <w:rsid w:val="00E3064F"/>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Number1">
    <w:name w:val="Page Number1"/>
    <w:basedOn w:val="a"/>
    <w:rsid w:val="00596F92"/>
    <w:pPr>
      <w:widowControl/>
      <w:jc w:val="center"/>
    </w:pPr>
    <w:rPr>
      <w:rFonts w:ascii="Times" w:hAnsi="Times"/>
      <w:kern w:val="0"/>
      <w:szCs w:val="20"/>
      <w:lang w:eastAsia="en-US"/>
    </w:rPr>
  </w:style>
  <w:style w:type="paragraph" w:styleId="ad">
    <w:name w:val="Balloon Text"/>
    <w:basedOn w:val="a"/>
    <w:semiHidden/>
    <w:rsid w:val="006A1A72"/>
    <w:rPr>
      <w:rFonts w:ascii="Arial" w:hAnsi="Arial"/>
      <w:sz w:val="18"/>
      <w:szCs w:val="18"/>
    </w:rPr>
  </w:style>
  <w:style w:type="character" w:customStyle="1" w:styleId="40">
    <w:name w:val="標題 4 字元"/>
    <w:basedOn w:val="a1"/>
    <w:link w:val="4"/>
    <w:rsid w:val="0050097C"/>
    <w:rPr>
      <w:rFonts w:eastAsia="Times New Roman"/>
      <w:i/>
      <w:iCs/>
      <w:kern w:val="1"/>
      <w:sz w:val="18"/>
      <w:szCs w:val="18"/>
      <w:lang w:eastAsia="en-US"/>
    </w:rPr>
  </w:style>
  <w:style w:type="character" w:customStyle="1" w:styleId="60">
    <w:name w:val="標題 6 字元"/>
    <w:basedOn w:val="a1"/>
    <w:link w:val="6"/>
    <w:uiPriority w:val="9"/>
    <w:rsid w:val="0050097C"/>
    <w:rPr>
      <w:rFonts w:eastAsia="Times New Roman"/>
      <w:i/>
      <w:iCs/>
      <w:kern w:val="1"/>
      <w:sz w:val="16"/>
      <w:szCs w:val="16"/>
      <w:lang w:eastAsia="en-US"/>
    </w:rPr>
  </w:style>
  <w:style w:type="character" w:customStyle="1" w:styleId="80">
    <w:name w:val="標題 8 字元"/>
    <w:basedOn w:val="a1"/>
    <w:link w:val="8"/>
    <w:uiPriority w:val="9"/>
    <w:rsid w:val="0050097C"/>
    <w:rPr>
      <w:rFonts w:eastAsia="Times New Roman"/>
      <w:i/>
      <w:iCs/>
      <w:kern w:val="1"/>
      <w:sz w:val="16"/>
      <w:szCs w:val="16"/>
      <w:lang w:eastAsia="en-US"/>
    </w:rPr>
  </w:style>
  <w:style w:type="character" w:customStyle="1" w:styleId="90">
    <w:name w:val="標題 9 字元"/>
    <w:basedOn w:val="a1"/>
    <w:link w:val="9"/>
    <w:uiPriority w:val="9"/>
    <w:rsid w:val="0050097C"/>
    <w:rPr>
      <w:rFonts w:eastAsia="Times New Roman"/>
      <w:kern w:val="1"/>
      <w:sz w:val="16"/>
      <w:szCs w:val="16"/>
      <w:lang w:eastAsia="en-US"/>
    </w:rPr>
  </w:style>
  <w:style w:type="paragraph" w:customStyle="1" w:styleId="IJECS">
    <w:name w:val="IJECS文獻"/>
    <w:basedOn w:val="a"/>
    <w:qFormat/>
    <w:rsid w:val="0050097C"/>
    <w:pPr>
      <w:overflowPunct w:val="0"/>
      <w:autoSpaceDE w:val="0"/>
      <w:autoSpaceDN w:val="0"/>
      <w:snapToGrid w:val="0"/>
      <w:ind w:left="480" w:hanging="480"/>
      <w:jc w:val="both"/>
    </w:pPr>
    <w:rPr>
      <w:color w:val="000000"/>
    </w:rPr>
  </w:style>
  <w:style w:type="paragraph" w:customStyle="1" w:styleId="Header1">
    <w:name w:val="Header 1"/>
    <w:basedOn w:val="a"/>
    <w:rsid w:val="0050097C"/>
    <w:pPr>
      <w:widowControl/>
      <w:numPr>
        <w:numId w:val="2"/>
      </w:numPr>
      <w:tabs>
        <w:tab w:val="left" w:pos="360"/>
      </w:tabs>
      <w:suppressAutoHyphens/>
      <w:spacing w:before="240" w:after="120" w:line="240" w:lineRule="exact"/>
      <w:outlineLvl w:val="0"/>
    </w:pPr>
    <w:rPr>
      <w:rFonts w:eastAsia="SimSun"/>
      <w:b/>
      <w:bCs/>
      <w:kern w:val="1"/>
      <w:sz w:val="28"/>
      <w:szCs w:val="28"/>
      <w:lang w:eastAsia="zh-CN"/>
    </w:rPr>
  </w:style>
  <w:style w:type="paragraph" w:styleId="a0">
    <w:name w:val="Body Text"/>
    <w:basedOn w:val="a"/>
    <w:link w:val="ae"/>
    <w:rsid w:val="0050097C"/>
    <w:pPr>
      <w:spacing w:after="120"/>
    </w:pPr>
  </w:style>
  <w:style w:type="character" w:customStyle="1" w:styleId="ae">
    <w:name w:val="本文 字元"/>
    <w:basedOn w:val="a1"/>
    <w:link w:val="a0"/>
    <w:rsid w:val="0050097C"/>
    <w:rPr>
      <w:kern w:val="2"/>
      <w:sz w:val="24"/>
      <w:szCs w:val="24"/>
    </w:rPr>
  </w:style>
  <w:style w:type="paragraph" w:customStyle="1" w:styleId="Text">
    <w:name w:val="Text"/>
    <w:basedOn w:val="a"/>
    <w:rsid w:val="00FA27CA"/>
    <w:pPr>
      <w:widowControl/>
      <w:spacing w:line="480" w:lineRule="auto"/>
      <w:ind w:firstLine="547"/>
    </w:pPr>
    <w:rPr>
      <w:rFonts w:eastAsia="Times New Roman"/>
      <w:kern w:val="0"/>
      <w:sz w:val="20"/>
      <w:szCs w:val="20"/>
      <w:lang w:val="en-GB" w:eastAsia="ko-KR"/>
    </w:rPr>
  </w:style>
  <w:style w:type="character" w:customStyle="1" w:styleId="aa">
    <w:name w:val="頁首 字元"/>
    <w:aliases w:val=" 字元 字元,字元 字元"/>
    <w:basedOn w:val="a1"/>
    <w:link w:val="a9"/>
    <w:uiPriority w:val="99"/>
    <w:rsid w:val="00FA27CA"/>
    <w:rPr>
      <w:kern w:val="2"/>
    </w:rPr>
  </w:style>
  <w:style w:type="paragraph" w:customStyle="1" w:styleId="Heading11">
    <w:name w:val="Heading 11"/>
    <w:basedOn w:val="a"/>
    <w:next w:val="Text"/>
    <w:rsid w:val="00417C83"/>
    <w:pPr>
      <w:widowControl/>
      <w:spacing w:after="240" w:line="480" w:lineRule="auto"/>
      <w:ind w:firstLine="547"/>
    </w:pPr>
    <w:rPr>
      <w:rFonts w:eastAsia="Times New Roman"/>
      <w:b/>
      <w:kern w:val="0"/>
      <w:sz w:val="36"/>
      <w:szCs w:val="20"/>
      <w:lang w:val="en-GB" w:eastAsia="ko-KR"/>
    </w:rPr>
  </w:style>
  <w:style w:type="character" w:customStyle="1" w:styleId="30">
    <w:name w:val="標題 3 字元"/>
    <w:basedOn w:val="a1"/>
    <w:link w:val="3"/>
    <w:semiHidden/>
    <w:rsid w:val="00950321"/>
    <w:rPr>
      <w:rFonts w:asciiTheme="majorHAnsi" w:eastAsiaTheme="majorEastAsia" w:hAnsiTheme="majorHAnsi" w:cstheme="majorBidi"/>
      <w:color w:val="243F60" w:themeColor="accent1" w:themeShade="7F"/>
      <w:kern w:val="2"/>
      <w:sz w:val="24"/>
      <w:szCs w:val="24"/>
    </w:rPr>
  </w:style>
  <w:style w:type="character" w:customStyle="1" w:styleId="apple-converted-space">
    <w:name w:val="apple-converted-space"/>
    <w:basedOn w:val="a1"/>
    <w:rsid w:val="00950321"/>
  </w:style>
  <w:style w:type="character" w:customStyle="1" w:styleId="cit-sep">
    <w:name w:val="cit-sep"/>
    <w:basedOn w:val="a1"/>
    <w:rsid w:val="00950321"/>
  </w:style>
  <w:style w:type="character" w:customStyle="1" w:styleId="cit-subtitle">
    <w:name w:val="cit-subtitle"/>
    <w:basedOn w:val="a1"/>
    <w:rsid w:val="00950321"/>
  </w:style>
  <w:style w:type="character" w:customStyle="1" w:styleId="10">
    <w:name w:val="標題 1 字元"/>
    <w:basedOn w:val="a1"/>
    <w:link w:val="1"/>
    <w:rsid w:val="00C064FE"/>
    <w:rPr>
      <w:rFonts w:asciiTheme="majorHAnsi" w:eastAsiaTheme="majorEastAsia" w:hAnsiTheme="majorHAnsi" w:cstheme="majorBidi"/>
      <w:color w:val="365F91" w:themeColor="accent1" w:themeShade="BF"/>
      <w:kern w:val="2"/>
      <w:sz w:val="32"/>
      <w:szCs w:val="32"/>
    </w:rPr>
  </w:style>
  <w:style w:type="character" w:styleId="af">
    <w:name w:val="annotation reference"/>
    <w:basedOn w:val="a1"/>
    <w:semiHidden/>
    <w:unhideWhenUsed/>
    <w:rsid w:val="00EA1DEF"/>
    <w:rPr>
      <w:sz w:val="16"/>
      <w:szCs w:val="16"/>
    </w:rPr>
  </w:style>
  <w:style w:type="paragraph" w:styleId="af0">
    <w:name w:val="annotation text"/>
    <w:basedOn w:val="a"/>
    <w:link w:val="af1"/>
    <w:semiHidden/>
    <w:unhideWhenUsed/>
    <w:rsid w:val="00EA1DEF"/>
    <w:rPr>
      <w:sz w:val="20"/>
      <w:szCs w:val="20"/>
    </w:rPr>
  </w:style>
  <w:style w:type="character" w:customStyle="1" w:styleId="af1">
    <w:name w:val="註解文字 字元"/>
    <w:basedOn w:val="a1"/>
    <w:link w:val="af0"/>
    <w:semiHidden/>
    <w:rsid w:val="00EA1DEF"/>
    <w:rPr>
      <w:kern w:val="2"/>
    </w:rPr>
  </w:style>
  <w:style w:type="paragraph" w:styleId="af2">
    <w:name w:val="annotation subject"/>
    <w:basedOn w:val="af0"/>
    <w:next w:val="af0"/>
    <w:link w:val="af3"/>
    <w:semiHidden/>
    <w:unhideWhenUsed/>
    <w:rsid w:val="00EA1DEF"/>
    <w:rPr>
      <w:b/>
      <w:bCs/>
    </w:rPr>
  </w:style>
  <w:style w:type="character" w:customStyle="1" w:styleId="af3">
    <w:name w:val="註解主旨 字元"/>
    <w:basedOn w:val="af1"/>
    <w:link w:val="af2"/>
    <w:semiHidden/>
    <w:rsid w:val="00EA1DEF"/>
    <w:rPr>
      <w:b/>
      <w:bCs/>
      <w:kern w:val="2"/>
    </w:rPr>
  </w:style>
  <w:style w:type="character" w:styleId="af4">
    <w:name w:val="Unresolved Mention"/>
    <w:basedOn w:val="a1"/>
    <w:uiPriority w:val="99"/>
    <w:semiHidden/>
    <w:unhideWhenUsed/>
    <w:rsid w:val="00C434C5"/>
    <w:rPr>
      <w:color w:val="605E5C"/>
      <w:shd w:val="clear" w:color="auto" w:fill="E1DFDD"/>
    </w:rPr>
  </w:style>
  <w:style w:type="paragraph" w:styleId="af5">
    <w:name w:val="List Paragraph"/>
    <w:basedOn w:val="a"/>
    <w:uiPriority w:val="34"/>
    <w:qFormat/>
    <w:rsid w:val="00520A27"/>
    <w:pPr>
      <w:ind w:left="720"/>
      <w:contextualSpacing/>
    </w:pPr>
  </w:style>
  <w:style w:type="character" w:customStyle="1" w:styleId="20">
    <w:name w:val="標題 2 字元"/>
    <w:basedOn w:val="a1"/>
    <w:link w:val="2"/>
    <w:uiPriority w:val="9"/>
    <w:rsid w:val="003A5130"/>
    <w:rPr>
      <w:rFonts w:asciiTheme="majorHAnsi" w:eastAsiaTheme="majorEastAsia" w:hAnsiTheme="majorHAnsi" w:cstheme="majorBidi"/>
      <w:color w:val="365F91" w:themeColor="accent1" w:themeShade="BF"/>
      <w:kern w:val="2"/>
      <w:sz w:val="26"/>
      <w:szCs w:val="26"/>
    </w:rPr>
  </w:style>
  <w:style w:type="paragraph" w:customStyle="1" w:styleId="ijecstitle">
    <w:name w:val="ijecs_title"/>
    <w:basedOn w:val="Web"/>
    <w:link w:val="ijecstitle0"/>
    <w:qFormat/>
    <w:rsid w:val="00BB4009"/>
    <w:pPr>
      <w:snapToGrid w:val="0"/>
      <w:spacing w:before="0" w:beforeAutospacing="0" w:after="0" w:afterAutospacing="0"/>
      <w:jc w:val="center"/>
      <w:textAlignment w:val="top"/>
    </w:pPr>
    <w:rPr>
      <w:rFonts w:ascii="Arial" w:hAnsi="Arial" w:cs="Arial"/>
      <w:b/>
      <w:bCs/>
      <w:sz w:val="32"/>
      <w:szCs w:val="32"/>
    </w:rPr>
  </w:style>
  <w:style w:type="character" w:customStyle="1" w:styleId="ijecstitle0">
    <w:name w:val="ijecs_title 字元"/>
    <w:basedOn w:val="a1"/>
    <w:link w:val="ijecstitle"/>
    <w:rsid w:val="00BB4009"/>
    <w:rPr>
      <w:rFonts w:ascii="Arial" w:eastAsia="Arial Unicode MS"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15308">
      <w:bodyDiv w:val="1"/>
      <w:marLeft w:val="0"/>
      <w:marRight w:val="0"/>
      <w:marTop w:val="0"/>
      <w:marBottom w:val="0"/>
      <w:divBdr>
        <w:top w:val="none" w:sz="0" w:space="0" w:color="auto"/>
        <w:left w:val="none" w:sz="0" w:space="0" w:color="auto"/>
        <w:bottom w:val="none" w:sz="0" w:space="0" w:color="auto"/>
        <w:right w:val="none" w:sz="0" w:space="0" w:color="auto"/>
      </w:divBdr>
    </w:div>
    <w:div w:id="205147381">
      <w:bodyDiv w:val="1"/>
      <w:marLeft w:val="0"/>
      <w:marRight w:val="0"/>
      <w:marTop w:val="0"/>
      <w:marBottom w:val="0"/>
      <w:divBdr>
        <w:top w:val="none" w:sz="0" w:space="0" w:color="auto"/>
        <w:left w:val="none" w:sz="0" w:space="0" w:color="auto"/>
        <w:bottom w:val="none" w:sz="0" w:space="0" w:color="auto"/>
        <w:right w:val="none" w:sz="0" w:space="0" w:color="auto"/>
      </w:divBdr>
    </w:div>
    <w:div w:id="1484465866">
      <w:bodyDiv w:val="1"/>
      <w:marLeft w:val="0"/>
      <w:marRight w:val="0"/>
      <w:marTop w:val="0"/>
      <w:marBottom w:val="0"/>
      <w:divBdr>
        <w:top w:val="none" w:sz="0" w:space="0" w:color="auto"/>
        <w:left w:val="none" w:sz="0" w:space="0" w:color="auto"/>
        <w:bottom w:val="none" w:sz="0" w:space="0" w:color="auto"/>
        <w:right w:val="none" w:sz="0" w:space="0" w:color="auto"/>
      </w:divBdr>
    </w:div>
    <w:div w:id="1634216863">
      <w:bodyDiv w:val="1"/>
      <w:marLeft w:val="0"/>
      <w:marRight w:val="0"/>
      <w:marTop w:val="0"/>
      <w:marBottom w:val="0"/>
      <w:divBdr>
        <w:top w:val="none" w:sz="0" w:space="0" w:color="auto"/>
        <w:left w:val="none" w:sz="0" w:space="0" w:color="auto"/>
        <w:bottom w:val="none" w:sz="0" w:space="0" w:color="auto"/>
        <w:right w:val="none" w:sz="0" w:space="0" w:color="auto"/>
      </w:divBdr>
      <w:divsChild>
        <w:div w:id="1711222925">
          <w:marLeft w:val="0"/>
          <w:marRight w:val="0"/>
          <w:marTop w:val="0"/>
          <w:marBottom w:val="0"/>
          <w:divBdr>
            <w:top w:val="none" w:sz="0" w:space="0" w:color="auto"/>
            <w:left w:val="none" w:sz="0" w:space="0" w:color="auto"/>
            <w:bottom w:val="none" w:sz="0" w:space="0" w:color="auto"/>
            <w:right w:val="none" w:sz="0" w:space="0" w:color="auto"/>
          </w:divBdr>
        </w:div>
        <w:div w:id="646668891">
          <w:marLeft w:val="0"/>
          <w:marRight w:val="0"/>
          <w:marTop w:val="0"/>
          <w:marBottom w:val="0"/>
          <w:divBdr>
            <w:top w:val="none" w:sz="0" w:space="0" w:color="auto"/>
            <w:left w:val="none" w:sz="0" w:space="0" w:color="auto"/>
            <w:bottom w:val="none" w:sz="0" w:space="0" w:color="auto"/>
            <w:right w:val="none" w:sz="0" w:space="0" w:color="auto"/>
          </w:divBdr>
        </w:div>
        <w:div w:id="1875190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sudevan30@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kshr6336@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ayanta.february@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abhakiran10@gmail.com" TargetMode="External"/><Relationship Id="rId14"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E496F-FDB8-438C-8D4B-135380A85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20</Pages>
  <Words>6785</Words>
  <Characters>38681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FINAL SUBMISSION FORMAT INSTRUCTIONS FOR PROCEEDINGS OF BUSINESS AND INFORMATION: PLEASE READ CAREFULLY</vt:lpstr>
    </vt:vector>
  </TitlesOfParts>
  <Company>Company</Company>
  <LinksUpToDate>false</LinksUpToDate>
  <CharactersWithSpaces>45376</CharactersWithSpaces>
  <SharedDoc>false</SharedDoc>
  <HLinks>
    <vt:vector size="6" baseType="variant">
      <vt:variant>
        <vt:i4>2686996</vt:i4>
      </vt:variant>
      <vt:variant>
        <vt:i4>0</vt:i4>
      </vt:variant>
      <vt:variant>
        <vt:i4>0</vt:i4>
      </vt:variant>
      <vt:variant>
        <vt:i4>5</vt:i4>
      </vt:variant>
      <vt:variant>
        <vt:lpwstr>mailto:wangson@mail.ntpu.edu.tw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SUBMISSION FORMAT INSTRUCTIONS FOR PROCEEDINGS OF BUSINESS AND INFORMATION: PLEASE READ CAREFULLY</dc:title>
  <dc:creator>User</dc:creator>
  <cp:lastModifiedBy>林宜風</cp:lastModifiedBy>
  <cp:revision>19</cp:revision>
  <cp:lastPrinted>2021-02-01T07:42:00Z</cp:lastPrinted>
  <dcterms:created xsi:type="dcterms:W3CDTF">2021-12-15T16:31:00Z</dcterms:created>
  <dcterms:modified xsi:type="dcterms:W3CDTF">2022-06-26T10:26:00Z</dcterms:modified>
</cp:coreProperties>
</file>